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color w:val="0B2545"/>
          <w:sz w:val="34"/>
        </w:rPr>
        <w:t>Understanding today's water system — Theme narrative — Copy Deck for Language Review</w:t>
      </w:r>
    </w:p>
    <w:p>
      <w:r>
        <w:rPr>
          <w:rFonts w:ascii="Arial" w:hAnsi="Arial"/>
          <w:i/>
          <w:color w:val="667085"/>
          <w:sz w:val="19"/>
        </w:rPr>
        <w:t>Source: theme_baseline_understanding-todays-water-system_narrative_prototype_v0_2.html</w:t>
      </w:r>
    </w:p>
    <w:p>
      <w:r>
        <w:rPr>
          <w:rFonts w:ascii="Arial" w:hAnsi="Arial"/>
          <w:i/>
          <w:color w:val="667085"/>
          <w:sz w:val="19"/>
        </w:rPr>
        <w:t>The numbers in the text below are inserted from data and will be regenerated for the published brief. Edit the wording, not the numbers.</w:t>
      </w:r>
    </w:p>
    <w:p>
      <w:pPr>
        <w:pStyle w:val="Heading2"/>
      </w:pPr>
      <w:r>
        <w:rPr>
          <w:rFonts w:ascii="Arial" w:hAnsi="Arial"/>
          <w:b/>
          <w:color w:val="0B2545"/>
          <w:sz w:val="26"/>
        </w:rPr>
        <w:t>How to use this document</w:t>
      </w:r>
    </w:p>
    <w:p>
      <w:r>
        <w:rPr>
          <w:rFonts w:ascii="Arial" w:hAnsi="Arial"/>
          <w:i w:val="0"/>
          <w:color w:val="1A2433"/>
          <w:sz w:val="22"/>
        </w:rPr>
        <w:t>This holds only the words a reader sees in the brief, block by block, each with a label that matches a spot in the page. To suggest wording changes, turn on Track Changes (Review tab → Track Changes) and edit the text directly. Accepted edits are then applied back to the brief's HTML.</w:t>
      </w:r>
    </w:p>
    <w:p>
      <w:r>
        <w:rPr>
          <w:rFonts w:ascii="Arial" w:hAnsi="Arial"/>
          <w:i w:val="0"/>
          <w:color w:val="1A2433"/>
          <w:sz w:val="22"/>
        </w:rPr>
        <w:t>Edit wording only. Numbers, tier values, and counts are inserted from data — leave them as-is; they will be regenerated. The block labels and section headings are signposts, not part of the brief; don't edit those.</w:t>
      </w:r>
    </w:p>
    <w:p>
      <w:r>
        <w:rPr>
          <w:rFonts w:ascii="Arial" w:hAnsi="Arial"/>
          <w:i w:val="0"/>
          <w:color w:val="1A2433"/>
          <w:sz w:val="22"/>
        </w:rPr>
        <w:t>Every brief keeps all nine sections in fixed order, including any that don't apply (kept with a short note). Please keep that structure.</w:t>
      </w:r>
    </w:p>
    <w:p>
      <w:r>
        <w:rPr>
          <w:rFonts w:ascii="Arial" w:hAnsi="Arial"/>
          <w:b/>
          <w:color w:val="0B2545"/>
          <w:sz w:val="18"/>
        </w:rPr>
        <w:t>Front matter</w:t>
      </w:r>
    </w:p>
    <w:p>
      <w:r>
        <w:rPr>
          <w:rFonts w:ascii="Arial" w:hAnsi="Arial"/>
          <w:b/>
          <w:color w:val="0B2545"/>
          <w:sz w:val="18"/>
        </w:rPr>
        <w:t>Masthead (top strip)</w:t>
      </w:r>
    </w:p>
    <w:p>
      <w:r>
        <w:rPr>
          <w:rFonts w:ascii="Arial" w:hAnsi="Arial"/>
          <w:i w:val="0"/>
          <w:color w:val="1A2433"/>
          <w:sz w:val="22"/>
        </w:rPr>
        <w:t>COEQWAL Theme Narrative · Public</w:t>
      </w:r>
    </w:p>
    <w:p>
      <w:r>
        <w:rPr>
          <w:rFonts w:ascii="Arial" w:hAnsi="Arial"/>
          <w:b/>
          <w:color w:val="0B2545"/>
          <w:sz w:val="18"/>
        </w:rPr>
        <w:t>Eyebrow (sector)</w:t>
      </w:r>
    </w:p>
    <w:p>
      <w:r>
        <w:rPr>
          <w:rFonts w:ascii="Arial" w:hAnsi="Arial"/>
          <w:i w:val="0"/>
          <w:color w:val="1A2433"/>
          <w:sz w:val="22"/>
        </w:rPr>
        <w:t>Understanding today's water system · Public Narrative</w:t>
      </w:r>
    </w:p>
    <w:p>
      <w:r>
        <w:rPr>
          <w:rFonts w:ascii="Arial" w:hAnsi="Arial"/>
          <w:b/>
          <w:color w:val="0B2545"/>
          <w:sz w:val="18"/>
        </w:rPr>
        <w:t>Headline (H1)</w:t>
      </w:r>
    </w:p>
    <w:p>
      <w:r>
        <w:rPr>
          <w:rFonts w:ascii="Arial" w:hAnsi="Arial"/>
          <w:i w:val="0"/>
          <w:color w:val="1A2433"/>
          <w:sz w:val="22"/>
        </w:rPr>
        <w:t>Understanding today's water system</w:t>
      </w:r>
    </w:p>
    <w:p>
      <w:r>
        <w:rPr>
          <w:rFonts w:ascii="Arial" w:hAnsi="Arial"/>
          <w:b/>
          <w:color w:val="0B2545"/>
          <w:sz w:val="18"/>
        </w:rPr>
        <w:t>Search / meta description</w:t>
      </w:r>
    </w:p>
    <w:p>
      <w:r>
        <w:rPr>
          <w:rFonts w:ascii="Arial" w:hAnsi="Arial"/>
          <w:i w:val="0"/>
          <w:color w:val="1A2433"/>
          <w:sz w:val="22"/>
        </w:rPr>
        <w:t>The COEQWAL baseline theme narrative: how California's current water management system performs under both historical and future climate conditions, and what that reveals about future water challenges.</w:t>
      </w:r>
    </w:p>
    <w:p>
      <w:pPr>
        <w:pStyle w:val="Heading2"/>
      </w:pPr>
      <w:r>
        <w:rPr>
          <w:rFonts w:ascii="Arial" w:hAnsi="Arial"/>
          <w:b/>
          <w:color w:val="0B2545"/>
          <w:sz w:val="26"/>
        </w:rPr>
        <w:t>1. The core question</w:t>
      </w:r>
    </w:p>
    <w:p>
      <w:r>
        <w:rPr>
          <w:rFonts w:ascii="Arial" w:hAnsi="Arial"/>
          <w:b/>
          <w:color w:val="0B2545"/>
          <w:sz w:val="18"/>
        </w:rPr>
        <w:t>¶1</w:t>
      </w:r>
    </w:p>
    <w:p>
      <w:r>
        <w:rPr>
          <w:rFonts w:ascii="Arial" w:hAnsi="Arial"/>
          <w:i w:val="0"/>
          <w:color w:val="1A2433"/>
          <w:sz w:val="22"/>
        </w:rPr>
        <w:t>How does California's current water management system for the Central Valley perform under both historical and future climate conditions, and what can that tell us about future water challenges and opportunities?</w:t>
      </w:r>
    </w:p>
    <w:p>
      <w:r>
        <w:rPr>
          <w:rFonts w:ascii="Arial" w:hAnsi="Arial"/>
          <w:b/>
          <w:color w:val="0B2545"/>
          <w:sz w:val="18"/>
        </w:rPr>
        <w:t>¶2</w:t>
      </w:r>
    </w:p>
    <w:p>
      <w:r>
        <w:rPr>
          <w:rFonts w:ascii="Arial" w:hAnsi="Arial"/>
          <w:i w:val="0"/>
          <w:color w:val="1A2433"/>
          <w:sz w:val="22"/>
        </w:rPr>
        <w:t>Before exploring alternative management strategies, it is important to understand how today's system performs. This theme provides a foundation for understanding the strengths, vulnerabilities, trade-offs, and inequities that already exist within California's water system and how those conditions may change under different future hydroclimates.</w:t>
      </w:r>
    </w:p>
    <w:p>
      <w:pPr>
        <w:pStyle w:val="Heading2"/>
      </w:pPr>
      <w:r>
        <w:rPr>
          <w:rFonts w:ascii="Arial" w:hAnsi="Arial"/>
          <w:b/>
          <w:color w:val="0B2545"/>
          <w:sz w:val="26"/>
        </w:rPr>
        <w:t>2. Why this matters</w:t>
      </w:r>
    </w:p>
    <w:p>
      <w:r>
        <w:rPr>
          <w:rFonts w:ascii="Arial" w:hAnsi="Arial"/>
          <w:b/>
          <w:color w:val="0B2545"/>
          <w:sz w:val="18"/>
        </w:rPr>
        <w:t>¶1</w:t>
      </w:r>
    </w:p>
    <w:p>
      <w:r>
        <w:rPr>
          <w:rFonts w:ascii="Arial" w:hAnsi="Arial"/>
          <w:i w:val="0"/>
          <w:color w:val="1A2433"/>
          <w:sz w:val="22"/>
        </w:rPr>
        <w:t>California's Central Valley water system reflects more than a century of investments in reservoirs, canals, levees, groundwater development, environmental regulations, water rights, contracts, and operating agreements. Together, these decisions determine how water is stored, moved, allocated, and managed across the state.</w:t>
      </w:r>
    </w:p>
    <w:p>
      <w:r>
        <w:rPr>
          <w:rFonts w:ascii="Arial" w:hAnsi="Arial"/>
          <w:b/>
          <w:color w:val="0B2545"/>
          <w:sz w:val="18"/>
        </w:rPr>
        <w:t>¶2</w:t>
      </w:r>
    </w:p>
    <w:p>
      <w:r>
        <w:rPr>
          <w:rFonts w:ascii="Arial" w:hAnsi="Arial"/>
          <w:i w:val="0"/>
          <w:color w:val="1A2433"/>
          <w:sz w:val="22"/>
        </w:rPr>
        <w:t>The current system supports millions of Californians, one of the world's most productive agricultural economies, and diverse freshwater and estuarine ecosystems. At the same time, it faces ongoing challenges, including drought, groundwater depletion, ecosystem declines, water quality concerns, and unequal impacts across communities and regions.</w:t>
      </w:r>
    </w:p>
    <w:p>
      <w:r>
        <w:rPr>
          <w:rFonts w:ascii="Arial" w:hAnsi="Arial"/>
          <w:b/>
          <w:color w:val="0B2545"/>
          <w:sz w:val="18"/>
        </w:rPr>
        <w:t>¶3</w:t>
      </w:r>
    </w:p>
    <w:p>
      <w:r>
        <w:rPr>
          <w:rFonts w:ascii="Arial" w:hAnsi="Arial"/>
          <w:i w:val="0"/>
          <w:color w:val="1A2433"/>
          <w:sz w:val="22"/>
        </w:rPr>
        <w:t>Future climate conditions add another layer of uncertainty. While water managers can influence how water is managed, they cannot control future precipitation, temperature, snowpack, or drought frequency. Understanding how today's system performs under both historical and future hydroclimates helps reveal where existing vulnerabilities already exist and where adaptation may be needed.</w:t>
      </w:r>
    </w:p>
    <w:p>
      <w:pPr>
        <w:pStyle w:val="Heading2"/>
      </w:pPr>
      <w:r>
        <w:rPr>
          <w:rFonts w:ascii="Arial" w:hAnsi="Arial"/>
          <w:b/>
          <w:color w:val="0B2545"/>
          <w:sz w:val="26"/>
        </w:rPr>
        <w:t>3. What this theme focuses on</w:t>
      </w:r>
    </w:p>
    <w:p>
      <w:r>
        <w:rPr>
          <w:rFonts w:ascii="Arial" w:hAnsi="Arial"/>
          <w:b/>
          <w:color w:val="0B2545"/>
          <w:sz w:val="18"/>
        </w:rPr>
        <w:t>¶1</w:t>
      </w:r>
    </w:p>
    <w:p>
      <w:r>
        <w:rPr>
          <w:rFonts w:ascii="Arial" w:hAnsi="Arial"/>
          <w:i w:val="0"/>
          <w:color w:val="1A2433"/>
          <w:sz w:val="22"/>
        </w:rPr>
        <w:t>California's water system includes reservoirs, rivers, groundwater basins, canals, pumps, treatment facilities, flood infrastructure, and water delivery networks. It is governed by a complex set of water rights, contracts, regulations, and operating rules that determine how water is managed across the state.</w:t>
      </w:r>
    </w:p>
    <w:p>
      <w:r>
        <w:rPr>
          <w:rFonts w:ascii="Arial" w:hAnsi="Arial"/>
          <w:b/>
          <w:color w:val="0B2545"/>
          <w:sz w:val="18"/>
        </w:rPr>
        <w:t>¶2</w:t>
      </w:r>
    </w:p>
    <w:p>
      <w:r>
        <w:rPr>
          <w:rFonts w:ascii="Arial" w:hAnsi="Arial"/>
          <w:i w:val="0"/>
          <w:color w:val="1A2433"/>
          <w:sz w:val="22"/>
        </w:rPr>
        <w:t>This theme examines how the current management system performs across a wide range of outcomes, including drinking water reliability, agricultural production, groundwater conditions, reservoir storage, Delta salinity conditions, environmental flows, and ecosystem health.</w:t>
      </w:r>
    </w:p>
    <w:p>
      <w:r>
        <w:rPr>
          <w:rFonts w:ascii="Arial" w:hAnsi="Arial"/>
          <w:b/>
          <w:color w:val="0B2545"/>
          <w:sz w:val="18"/>
        </w:rPr>
        <w:t>¶3</w:t>
      </w:r>
    </w:p>
    <w:p>
      <w:r>
        <w:rPr>
          <w:rFonts w:ascii="Arial" w:hAnsi="Arial"/>
          <w:i w:val="0"/>
          <w:color w:val="1A2433"/>
          <w:sz w:val="22"/>
        </w:rPr>
        <w:t>The same water management system can perform differently under different climate conditions. We can pair today's management system with both historical and future hydroclimates to explore how changing temperature, precipitation, snowpack, runoff timing, and drought frequency may affect water resource-related outcomes.</w:t>
      </w:r>
    </w:p>
    <w:p>
      <w:r>
        <w:rPr>
          <w:rFonts w:ascii="Arial" w:hAnsi="Arial"/>
          <w:b/>
          <w:color w:val="0B2545"/>
          <w:sz w:val="18"/>
        </w:rPr>
        <w:t>¶4</w:t>
      </w:r>
    </w:p>
    <w:p>
      <w:r>
        <w:rPr>
          <w:rFonts w:ascii="Arial" w:hAnsi="Arial"/>
          <w:i w:val="0"/>
          <w:color w:val="1A2433"/>
          <w:sz w:val="22"/>
        </w:rPr>
        <w:t>By keeping management constant and changing hydroclimates, we can explore how climate alone influences water availability, ecosystem conditions, and system performance.</w:t>
      </w:r>
    </w:p>
    <w:p>
      <w:r>
        <w:rPr>
          <w:rFonts w:ascii="Arial" w:hAnsi="Arial"/>
          <w:b/>
          <w:color w:val="0B2545"/>
          <w:sz w:val="18"/>
        </w:rPr>
        <w:t>¶5</w:t>
      </w:r>
    </w:p>
    <w:p>
      <w:r>
        <w:rPr>
          <w:rFonts w:ascii="Arial" w:hAnsi="Arial"/>
          <w:i w:val="0"/>
          <w:color w:val="1A2433"/>
          <w:sz w:val="22"/>
        </w:rPr>
        <w:t>Policies governing Central Valley water management are continually evolving, making the precise definition of "current operations" especially challenging. Despite the potential for imprecision, selecting a version of recent reality to represent current operations is helpful as it serves as a common reference point. Comparing current operations across hydroclimates helps reveal climate-driven changes. Comparing alternative management strategies to current operations within the same hydroclimate helps reveal management-driven changes. Together, these comparisons help distinguish the effects of climate change, management decisions, and their interactions.</w:t>
      </w:r>
    </w:p>
    <w:p>
      <w:r>
        <w:rPr>
          <w:rFonts w:ascii="Arial" w:hAnsi="Arial"/>
          <w:b/>
          <w:color w:val="0B2545"/>
          <w:sz w:val="18"/>
        </w:rPr>
        <w:t>¶6</w:t>
      </w:r>
    </w:p>
    <w:p>
      <w:r>
        <w:rPr>
          <w:rFonts w:ascii="Arial" w:hAnsi="Arial"/>
          <w:i w:val="0"/>
          <w:color w:val="1A2433"/>
          <w:sz w:val="22"/>
        </w:rPr>
        <w:t>Current operations carries two names, depending on the climate it runs in. Paired with the historical hydroclimate, it is the baseline — today's conditions as actually experienced. Paired with a future hydroclimate, it becomes a climate-projected baseline — where current operations would land if the climate changed but management did not. Both are the same operations; only the climate differs.</w:t>
      </w:r>
    </w:p>
    <w:p>
      <w:pPr>
        <w:pStyle w:val="Heading2"/>
      </w:pPr>
      <w:r>
        <w:rPr>
          <w:rFonts w:ascii="Arial" w:hAnsi="Arial"/>
          <w:b/>
          <w:color w:val="0B2545"/>
          <w:sz w:val="26"/>
        </w:rPr>
        <w:t>4. What to keep in mind as you explore this theme</w:t>
      </w:r>
    </w:p>
    <w:p>
      <w:r>
        <w:rPr>
          <w:rFonts w:ascii="Arial" w:hAnsi="Arial"/>
          <w:b/>
          <w:color w:val="0B2545"/>
          <w:sz w:val="18"/>
        </w:rPr>
        <w:t>List item</w:t>
      </w:r>
    </w:p>
    <w:p>
      <w:r>
        <w:rPr>
          <w:rFonts w:ascii="Arial" w:hAnsi="Arial"/>
          <w:i w:val="0"/>
          <w:color w:val="1A2433"/>
          <w:sz w:val="22"/>
        </w:rPr>
        <w:t>The current system is not a neutral starting point. It reflects decades of investments, policies, regulations, infrastructure decisions, and negotiated trade-offs.</w:t>
      </w:r>
    </w:p>
    <w:p>
      <w:r>
        <w:rPr>
          <w:rFonts w:ascii="Arial" w:hAnsi="Arial"/>
          <w:b/>
          <w:color w:val="0B2545"/>
          <w:sz w:val="18"/>
        </w:rPr>
        <w:t>List item</w:t>
      </w:r>
    </w:p>
    <w:p>
      <w:r>
        <w:rPr>
          <w:rFonts w:ascii="Arial" w:hAnsi="Arial"/>
          <w:i w:val="0"/>
          <w:color w:val="1A2433"/>
          <w:sz w:val="22"/>
        </w:rPr>
        <w:t>Current operations represent today's water management system, not an ideal or optimal future.</w:t>
      </w:r>
    </w:p>
    <w:p>
      <w:r>
        <w:rPr>
          <w:rFonts w:ascii="Arial" w:hAnsi="Arial"/>
          <w:b/>
          <w:color w:val="0B2545"/>
          <w:sz w:val="18"/>
        </w:rPr>
        <w:t>List item</w:t>
      </w:r>
    </w:p>
    <w:p>
      <w:r>
        <w:rPr>
          <w:rFonts w:ascii="Arial" w:hAnsi="Arial"/>
          <w:i w:val="0"/>
          <w:color w:val="1A2433"/>
          <w:sz w:val="22"/>
        </w:rPr>
        <w:t>There are many different representations of "current operations" used by different government agencies that reflect distinct decisions and assumptions.</w:t>
      </w:r>
    </w:p>
    <w:p>
      <w:r>
        <w:rPr>
          <w:rFonts w:ascii="Arial" w:hAnsi="Arial"/>
          <w:b/>
          <w:color w:val="0B2545"/>
          <w:sz w:val="18"/>
        </w:rPr>
        <w:t>List item</w:t>
      </w:r>
    </w:p>
    <w:p>
      <w:r>
        <w:rPr>
          <w:rFonts w:ascii="Arial" w:hAnsi="Arial"/>
          <w:i w:val="0"/>
          <w:color w:val="1A2433"/>
          <w:sz w:val="22"/>
        </w:rPr>
        <w:t>Models are a simplification of reality. The current operations represented in the CalSim 3 model may not capture all aspects of water management as they exist in reality.</w:t>
      </w:r>
    </w:p>
    <w:p>
      <w:r>
        <w:rPr>
          <w:rFonts w:ascii="Arial" w:hAnsi="Arial"/>
          <w:b/>
          <w:color w:val="0B2545"/>
          <w:sz w:val="18"/>
        </w:rPr>
        <w:t>List item</w:t>
      </w:r>
    </w:p>
    <w:p>
      <w:r>
        <w:rPr>
          <w:rFonts w:ascii="Arial" w:hAnsi="Arial"/>
          <w:i w:val="0"/>
          <w:color w:val="1A2433"/>
          <w:sz w:val="22"/>
        </w:rPr>
        <w:t>The same management strategy can produce very different outcomes under different hydroclimates.</w:t>
      </w:r>
    </w:p>
    <w:p>
      <w:r>
        <w:rPr>
          <w:rFonts w:ascii="Arial" w:hAnsi="Arial"/>
          <w:b/>
          <w:color w:val="0B2545"/>
          <w:sz w:val="18"/>
        </w:rPr>
        <w:t>List item</w:t>
      </w:r>
    </w:p>
    <w:p>
      <w:r>
        <w:rPr>
          <w:rFonts w:ascii="Arial" w:hAnsi="Arial"/>
          <w:i w:val="0"/>
          <w:color w:val="1A2433"/>
          <w:sz w:val="22"/>
        </w:rPr>
        <w:t>Differences between hydroclimates when using the same management strategies reveal climate-driven changes.</w:t>
      </w:r>
    </w:p>
    <w:p>
      <w:r>
        <w:rPr>
          <w:rFonts w:ascii="Arial" w:hAnsi="Arial"/>
          <w:b/>
          <w:color w:val="0B2545"/>
          <w:sz w:val="18"/>
        </w:rPr>
        <w:t>List item</w:t>
      </w:r>
    </w:p>
    <w:p>
      <w:r>
        <w:rPr>
          <w:rFonts w:ascii="Arial" w:hAnsi="Arial"/>
          <w:i w:val="0"/>
          <w:color w:val="1A2433"/>
          <w:sz w:val="22"/>
        </w:rPr>
        <w:t>Differences between management strategies reveal management-driven changes.</w:t>
      </w:r>
    </w:p>
    <w:p>
      <w:r>
        <w:rPr>
          <w:rFonts w:ascii="Arial" w:hAnsi="Arial"/>
          <w:b/>
          <w:color w:val="0B2545"/>
          <w:sz w:val="18"/>
        </w:rPr>
        <w:t>List item</w:t>
      </w:r>
    </w:p>
    <w:p>
      <w:r>
        <w:rPr>
          <w:rFonts w:ascii="Arial" w:hAnsi="Arial"/>
          <w:i w:val="0"/>
          <w:color w:val="1A2433"/>
          <w:sz w:val="22"/>
        </w:rPr>
        <w:t>Existing inequities may already be visible under current conditions.</w:t>
      </w:r>
    </w:p>
    <w:p>
      <w:r>
        <w:rPr>
          <w:rFonts w:ascii="Arial" w:hAnsi="Arial"/>
          <w:b/>
          <w:color w:val="0B2545"/>
          <w:sz w:val="18"/>
        </w:rPr>
        <w:t>List item</w:t>
      </w:r>
    </w:p>
    <w:p>
      <w:r>
        <w:rPr>
          <w:rFonts w:ascii="Arial" w:hAnsi="Arial"/>
          <w:i w:val="0"/>
          <w:color w:val="1A2433"/>
          <w:sz w:val="22"/>
        </w:rPr>
        <w:t>Future hydroclimates are not predictions. They represent alternative plausible futures that help test how the system responds to different climate conditions.</w:t>
      </w:r>
    </w:p>
    <w:p>
      <w:r>
        <w:rPr>
          <w:rFonts w:ascii="Arial" w:hAnsi="Arial"/>
          <w:b/>
          <w:color w:val="0B2545"/>
          <w:sz w:val="18"/>
        </w:rPr>
        <w:t>List item</w:t>
      </w:r>
    </w:p>
    <w:p>
      <w:r>
        <w:rPr>
          <w:rFonts w:ascii="Arial" w:hAnsi="Arial"/>
          <w:i w:val="0"/>
          <w:color w:val="1A2433"/>
          <w:sz w:val="22"/>
        </w:rPr>
        <w:t>Results represent long-term patterns or tendencies across many years rather than predictions for any single year.</w:t>
      </w:r>
    </w:p>
    <w:p>
      <w:pPr>
        <w:pStyle w:val="Heading2"/>
      </w:pPr>
      <w:r>
        <w:rPr>
          <w:rFonts w:ascii="Arial" w:hAnsi="Arial"/>
          <w:b/>
          <w:color w:val="0B2545"/>
          <w:sz w:val="26"/>
        </w:rPr>
        <w:t>5. What management strategies are explored</w:t>
      </w:r>
    </w:p>
    <w:p>
      <w:r>
        <w:rPr>
          <w:rFonts w:ascii="Arial" w:hAnsi="Arial"/>
          <w:b/>
          <w:color w:val="0B2545"/>
          <w:sz w:val="18"/>
        </w:rPr>
        <w:t>¶1</w:t>
      </w:r>
    </w:p>
    <w:p>
      <w:r>
        <w:rPr>
          <w:rFonts w:ascii="Arial" w:hAnsi="Arial"/>
          <w:i w:val="0"/>
          <w:color w:val="1A2433"/>
          <w:sz w:val="22"/>
        </w:rPr>
        <w:t>This theme focuses on the current operations scenario and provides the foundation for understanding the broader range of management strategies currently explored here. These strategies include:</w:t>
      </w:r>
    </w:p>
    <w:p>
      <w:r>
        <w:rPr>
          <w:rFonts w:ascii="Arial" w:hAnsi="Arial"/>
          <w:b/>
          <w:color w:val="0B2545"/>
          <w:sz w:val="18"/>
        </w:rPr>
        <w:t>List item</w:t>
      </w:r>
    </w:p>
    <w:p>
      <w:r>
        <w:rPr>
          <w:rFonts w:ascii="Arial" w:hAnsi="Arial"/>
          <w:i w:val="0"/>
          <w:color w:val="1A2433"/>
          <w:sz w:val="22"/>
        </w:rPr>
        <w:t>Environmental flow alternatives</w:t>
      </w:r>
    </w:p>
    <w:p>
      <w:r>
        <w:rPr>
          <w:rFonts w:ascii="Arial" w:hAnsi="Arial"/>
          <w:b/>
          <w:color w:val="0B2545"/>
          <w:sz w:val="18"/>
        </w:rPr>
        <w:t>List item</w:t>
      </w:r>
    </w:p>
    <w:p>
      <w:r>
        <w:rPr>
          <w:rFonts w:ascii="Arial" w:hAnsi="Arial"/>
          <w:i w:val="0"/>
          <w:color w:val="1A2433"/>
          <w:sz w:val="22"/>
        </w:rPr>
        <w:t>Drinking water prioritization strategies</w:t>
      </w:r>
    </w:p>
    <w:p>
      <w:r>
        <w:rPr>
          <w:rFonts w:ascii="Arial" w:hAnsi="Arial"/>
          <w:b/>
          <w:color w:val="0B2545"/>
          <w:sz w:val="18"/>
        </w:rPr>
        <w:t>List item</w:t>
      </w:r>
    </w:p>
    <w:p>
      <w:r>
        <w:rPr>
          <w:rFonts w:ascii="Arial" w:hAnsi="Arial"/>
          <w:i w:val="0"/>
          <w:color w:val="1A2433"/>
          <w:sz w:val="22"/>
        </w:rPr>
        <w:t>Groundwater management approaches</w:t>
      </w:r>
    </w:p>
    <w:p>
      <w:r>
        <w:rPr>
          <w:rFonts w:ascii="Arial" w:hAnsi="Arial"/>
          <w:b/>
          <w:color w:val="0B2545"/>
          <w:sz w:val="18"/>
        </w:rPr>
        <w:t>List item</w:t>
      </w:r>
    </w:p>
    <w:p>
      <w:r>
        <w:rPr>
          <w:rFonts w:ascii="Arial" w:hAnsi="Arial"/>
          <w:i w:val="0"/>
          <w:color w:val="1A2433"/>
          <w:sz w:val="22"/>
        </w:rPr>
        <w:t>Agricultural land-use transitions</w:t>
      </w:r>
    </w:p>
    <w:p>
      <w:r>
        <w:rPr>
          <w:rFonts w:ascii="Arial" w:hAnsi="Arial"/>
          <w:b/>
          <w:color w:val="0B2545"/>
          <w:sz w:val="18"/>
        </w:rPr>
        <w:t>List item</w:t>
      </w:r>
    </w:p>
    <w:p>
      <w:r>
        <w:rPr>
          <w:rFonts w:ascii="Arial" w:hAnsi="Arial"/>
          <w:i w:val="0"/>
          <w:color w:val="1A2433"/>
          <w:sz w:val="22"/>
        </w:rPr>
        <w:t>Delta management and conveyance strategies</w:t>
      </w:r>
    </w:p>
    <w:p>
      <w:r>
        <w:rPr>
          <w:rFonts w:ascii="Arial" w:hAnsi="Arial"/>
          <w:b/>
          <w:color w:val="0B2545"/>
          <w:sz w:val="18"/>
        </w:rPr>
        <w:t>List item</w:t>
      </w:r>
    </w:p>
    <w:p>
      <w:r>
        <w:rPr>
          <w:rFonts w:ascii="Arial" w:hAnsi="Arial"/>
          <w:i w:val="0"/>
          <w:color w:val="1A2433"/>
          <w:sz w:val="22"/>
        </w:rPr>
        <w:t>Reservoir operation alternatives</w:t>
      </w:r>
    </w:p>
    <w:p>
      <w:r>
        <w:rPr>
          <w:rFonts w:ascii="Arial" w:hAnsi="Arial"/>
          <w:b/>
          <w:color w:val="0B2545"/>
          <w:sz w:val="18"/>
        </w:rPr>
        <w:t>List item</w:t>
      </w:r>
    </w:p>
    <w:p>
      <w:r>
        <w:rPr>
          <w:rFonts w:ascii="Arial" w:hAnsi="Arial"/>
          <w:i w:val="0"/>
          <w:color w:val="1A2433"/>
          <w:sz w:val="22"/>
        </w:rPr>
        <w:t>Infrastructure investments</w:t>
      </w:r>
    </w:p>
    <w:p>
      <w:r>
        <w:rPr>
          <w:rFonts w:ascii="Arial" w:hAnsi="Arial"/>
          <w:b/>
          <w:color w:val="0B2545"/>
          <w:sz w:val="18"/>
        </w:rPr>
        <w:t>¶2</w:t>
      </w:r>
    </w:p>
    <w:p>
      <w:r>
        <w:rPr>
          <w:rFonts w:ascii="Arial" w:hAnsi="Arial"/>
          <w:i w:val="0"/>
          <w:color w:val="1A2433"/>
          <w:sz w:val="22"/>
        </w:rPr>
        <w:t>Comparing these strategies to current operations helps reveal how different management choices may affect outcomes under both historical and future climate conditions.</w:t>
      </w:r>
    </w:p>
    <w:p>
      <w:pPr>
        <w:pStyle w:val="Heading2"/>
      </w:pPr>
      <w:r>
        <w:rPr>
          <w:rFonts w:ascii="Arial" w:hAnsi="Arial"/>
          <w:b/>
          <w:color w:val="0B2545"/>
          <w:sz w:val="26"/>
        </w:rPr>
        <w:t>6. What the models show</w:t>
      </w:r>
    </w:p>
    <w:p>
      <w:r>
        <w:rPr>
          <w:rFonts w:ascii="Arial" w:hAnsi="Arial"/>
          <w:b/>
          <w:color w:val="0B2545"/>
          <w:sz w:val="18"/>
        </w:rPr>
        <w:t>¶1</w:t>
      </w:r>
    </w:p>
    <w:p>
      <w:r>
        <w:rPr>
          <w:rFonts w:ascii="Arial" w:hAnsi="Arial"/>
          <w:i w:val="0"/>
          <w:color w:val="1A2433"/>
          <w:sz w:val="22"/>
        </w:rPr>
        <w:t>Trade-offs: The current system reflects ongoing trade-offs among competing water uses and objectives. Water allocated to one purpose is often unavailable for another. These trade-offs already exist under current conditions and can become more pronounced under future climate stress.</w:t>
      </w:r>
    </w:p>
    <w:p>
      <w:r>
        <w:rPr>
          <w:rFonts w:ascii="Arial" w:hAnsi="Arial"/>
          <w:b/>
          <w:color w:val="0B2545"/>
          <w:sz w:val="18"/>
        </w:rPr>
        <w:t>¶2</w:t>
      </w:r>
    </w:p>
    <w:p>
      <w:r>
        <w:rPr>
          <w:rFonts w:ascii="Arial" w:hAnsi="Arial"/>
          <w:i w:val="0"/>
          <w:color w:val="1A2433"/>
          <w:sz w:val="22"/>
        </w:rPr>
        <w:t>Examining current operations across different hydroclimates helps reveal which trade-offs remain relatively stable and which become more difficult to manage as water availability changes.</w:t>
      </w:r>
    </w:p>
    <w:p>
      <w:r>
        <w:rPr>
          <w:rFonts w:ascii="Arial" w:hAnsi="Arial"/>
          <w:b/>
          <w:color w:val="0B2545"/>
          <w:sz w:val="18"/>
        </w:rPr>
        <w:t>¶3</w:t>
      </w:r>
    </w:p>
    <w:p>
      <w:r>
        <w:rPr>
          <w:rFonts w:ascii="Arial" w:hAnsi="Arial"/>
          <w:i w:val="0"/>
          <w:color w:val="1A2433"/>
          <w:sz w:val="22"/>
        </w:rPr>
        <w:t>Two senses of "trade-off" run through COEQWAL, and it helps to keep them apart. One is the standing trade-off — competing uses that exist at any moment, visible even when nothing about management changes. The other is the strategy trade-off — the cost of one management choice measured against another, which only becomes readable when you compare strategies. Current operations on its own shows the standing trade-offs and how climate sharpens them; reading a strategy trade-off requires the briefs where the management strategy changes. The baseline results — current operations across the historical and projected hydroclimates — are presented in the Baselines brief.</w:t>
      </w:r>
    </w:p>
    <w:p>
      <w:r>
        <w:rPr>
          <w:rFonts w:ascii="Arial" w:hAnsi="Arial"/>
          <w:b/>
          <w:color w:val="0B2545"/>
          <w:sz w:val="18"/>
        </w:rPr>
        <w:t>¶4</w:t>
      </w:r>
    </w:p>
    <w:p>
      <w:r>
        <w:rPr>
          <w:rFonts w:ascii="Arial" w:hAnsi="Arial"/>
          <w:i w:val="0"/>
          <w:color w:val="1A2433"/>
          <w:sz w:val="22"/>
        </w:rPr>
        <w:t>Equity: Current management policies do not affect all communities, regions, sectors, or ecosystems equally. Some benefit from more reliable supplies, greater storage access, stronger water rights, or diversified water sources, while others face greater vulnerability.</w:t>
      </w:r>
    </w:p>
    <w:p>
      <w:r>
        <w:rPr>
          <w:rFonts w:ascii="Arial" w:hAnsi="Arial"/>
          <w:b/>
          <w:color w:val="0B2545"/>
          <w:sz w:val="18"/>
        </w:rPr>
        <w:t>¶5</w:t>
      </w:r>
    </w:p>
    <w:p>
      <w:r>
        <w:rPr>
          <w:rFonts w:ascii="Arial" w:hAnsi="Arial"/>
          <w:i w:val="0"/>
          <w:color w:val="1A2433"/>
          <w:sz w:val="22"/>
        </w:rPr>
        <w:t>Understanding these existing patterns provides a starting point for evaluating whether future management strategies improve or worsen distributional equity across California's water system.</w:t>
      </w:r>
    </w:p>
    <w:p>
      <w:r>
        <w:rPr>
          <w:rFonts w:ascii="Arial" w:hAnsi="Arial"/>
          <w:b/>
          <w:color w:val="0B2545"/>
          <w:sz w:val="18"/>
        </w:rPr>
        <w:t>¶6</w:t>
      </w:r>
    </w:p>
    <w:p>
      <w:r>
        <w:rPr>
          <w:rFonts w:ascii="Arial" w:hAnsi="Arial"/>
          <w:i w:val="0"/>
          <w:color w:val="1A2433"/>
          <w:sz w:val="22"/>
        </w:rPr>
        <w:t>Resilience: Resilience can be understood by examining how the current system performs across a range of hydroclimates. If outcomes remain relatively stable under hotter, drier, wetter, or more variable conditions, the system can be considered more resilient. If outcomes decline substantially as climate conditions change, the system may be more vulnerable.</w:t>
      </w:r>
    </w:p>
    <w:p>
      <w:r>
        <w:rPr>
          <w:rFonts w:ascii="Arial" w:hAnsi="Arial"/>
          <w:b/>
          <w:color w:val="0B2545"/>
          <w:sz w:val="18"/>
        </w:rPr>
        <w:t>¶7</w:t>
      </w:r>
    </w:p>
    <w:p>
      <w:r>
        <w:rPr>
          <w:rFonts w:ascii="Arial" w:hAnsi="Arial"/>
          <w:i w:val="0"/>
          <w:color w:val="1A2433"/>
          <w:sz w:val="22"/>
        </w:rPr>
        <w:t>Comparing current operations across alternative futures helps identify which outcomes, regions, and communities are most sensitive to climate change and where adaptation may be needed.</w:t>
      </w:r>
    </w:p>
    <w:p>
      <w:pPr>
        <w:pStyle w:val="Heading2"/>
      </w:pPr>
      <w:r>
        <w:rPr>
          <w:rFonts w:ascii="Arial" w:hAnsi="Arial"/>
          <w:b/>
          <w:color w:val="0B2545"/>
          <w:sz w:val="26"/>
        </w:rPr>
        <w:t>7. How to explore this theme further</w:t>
      </w:r>
    </w:p>
    <w:p>
      <w:r>
        <w:rPr>
          <w:rFonts w:ascii="Arial" w:hAnsi="Arial"/>
          <w:b/>
          <w:color w:val="0B2545"/>
          <w:sz w:val="18"/>
        </w:rPr>
        <w:t>¶1</w:t>
      </w:r>
    </w:p>
    <w:p>
      <w:r>
        <w:rPr>
          <w:rFonts w:ascii="Arial" w:hAnsi="Arial"/>
          <w:i w:val="0"/>
          <w:color w:val="1A2433"/>
          <w:sz w:val="22"/>
        </w:rPr>
        <w:t>Begin by exploring current operations under the historical hydroclimate. Then compare the same management system under future hydroclimates. Ask:</w:t>
      </w:r>
    </w:p>
    <w:p>
      <w:r>
        <w:rPr>
          <w:rFonts w:ascii="Arial" w:hAnsi="Arial"/>
          <w:b/>
          <w:color w:val="0B2545"/>
          <w:sz w:val="18"/>
        </w:rPr>
        <w:t>List item</w:t>
      </w:r>
    </w:p>
    <w:p>
      <w:r>
        <w:rPr>
          <w:rFonts w:ascii="Arial" w:hAnsi="Arial"/>
          <w:i w:val="0"/>
          <w:color w:val="1A2433"/>
          <w:sz w:val="22"/>
        </w:rPr>
        <w:t>Which outcomes remain relatively stable across climates?</w:t>
      </w:r>
    </w:p>
    <w:p>
      <w:r>
        <w:rPr>
          <w:rFonts w:ascii="Arial" w:hAnsi="Arial"/>
          <w:b/>
          <w:color w:val="0B2545"/>
          <w:sz w:val="18"/>
        </w:rPr>
        <w:t>List item</w:t>
      </w:r>
    </w:p>
    <w:p>
      <w:r>
        <w:rPr>
          <w:rFonts w:ascii="Arial" w:hAnsi="Arial"/>
          <w:i w:val="0"/>
          <w:color w:val="1A2433"/>
          <w:sz w:val="22"/>
        </w:rPr>
        <w:t>Which outcomes decline under hotter or drier conditions?</w:t>
      </w:r>
    </w:p>
    <w:p>
      <w:r>
        <w:rPr>
          <w:rFonts w:ascii="Arial" w:hAnsi="Arial"/>
          <w:b/>
          <w:color w:val="0B2545"/>
          <w:sz w:val="18"/>
        </w:rPr>
        <w:t>List item</w:t>
      </w:r>
    </w:p>
    <w:p>
      <w:r>
        <w:rPr>
          <w:rFonts w:ascii="Arial" w:hAnsi="Arial"/>
          <w:i w:val="0"/>
          <w:color w:val="1A2433"/>
          <w:sz w:val="22"/>
        </w:rPr>
        <w:t>Which communities, regions, or ecosystems become more vulnerable?</w:t>
      </w:r>
    </w:p>
    <w:p>
      <w:r>
        <w:rPr>
          <w:rFonts w:ascii="Arial" w:hAnsi="Arial"/>
          <w:b/>
          <w:color w:val="0B2545"/>
          <w:sz w:val="18"/>
        </w:rPr>
        <w:t>List item</w:t>
      </w:r>
    </w:p>
    <w:p>
      <w:r>
        <w:rPr>
          <w:rFonts w:ascii="Arial" w:hAnsi="Arial"/>
          <w:i w:val="0"/>
          <w:color w:val="1A2433"/>
          <w:sz w:val="22"/>
        </w:rPr>
        <w:t>Which outcomes appear most resilient to climate change?</w:t>
      </w:r>
    </w:p>
    <w:p>
      <w:r>
        <w:rPr>
          <w:rFonts w:ascii="Arial" w:hAnsi="Arial"/>
          <w:b/>
          <w:color w:val="0B2545"/>
          <w:sz w:val="18"/>
        </w:rPr>
        <w:t>List item</w:t>
      </w:r>
    </w:p>
    <w:p>
      <w:r>
        <w:rPr>
          <w:rFonts w:ascii="Arial" w:hAnsi="Arial"/>
          <w:i w:val="0"/>
          <w:color w:val="1A2433"/>
          <w:sz w:val="22"/>
        </w:rPr>
        <w:t>How do climate conditions change existing trade-offs?</w:t>
      </w:r>
    </w:p>
    <w:p>
      <w:r>
        <w:rPr>
          <w:rFonts w:ascii="Arial" w:hAnsi="Arial"/>
          <w:b/>
          <w:color w:val="0B2545"/>
          <w:sz w:val="18"/>
        </w:rPr>
        <w:t>¶2</w:t>
      </w:r>
    </w:p>
    <w:p>
      <w:r>
        <w:rPr>
          <w:rFonts w:ascii="Arial" w:hAnsi="Arial"/>
          <w:i w:val="0"/>
          <w:color w:val="1A2433"/>
          <w:sz w:val="22"/>
        </w:rPr>
        <w:t>Once you understand how climate affects today's water system, explore alternative management strategies to see how different approaches may improve or worsen outcomes relative to current operations.</w:t>
      </w:r>
    </w:p>
    <w:p>
      <w:r>
        <w:rPr>
          <w:rFonts w:ascii="Arial" w:hAnsi="Arial"/>
          <w:b/>
          <w:color w:val="0B2545"/>
          <w:sz w:val="18"/>
        </w:rPr>
        <w:t>¶3</w:t>
      </w:r>
    </w:p>
    <w:p>
      <w:r>
        <w:rPr>
          <w:rFonts w:ascii="Arial" w:hAnsi="Arial"/>
          <w:i w:val="0"/>
          <w:color w:val="1A2433"/>
          <w:sz w:val="22"/>
        </w:rPr>
        <w:t>The modeled results for current operations — each of nine sectors of the water system, across the historical baseline and four projected hydroclimates — are laid out in the Baselines brief; start there to see the pattern this theme describes. Understanding today's water system provides a foundation for interpreting every scenario explored throughout COEQWAL.</w:t>
      </w:r>
    </w:p>
    <w:p>
      <w:pPr>
        <w:pStyle w:val="Heading2"/>
      </w:pPr>
      <w:r>
        <w:rPr>
          <w:rFonts w:ascii="Arial" w:hAnsi="Arial"/>
          <w:b/>
          <w:color w:val="0B2545"/>
          <w:sz w:val="26"/>
        </w:rPr>
        <w:t>8. Closing line</w:t>
      </w:r>
    </w:p>
    <w:p>
      <w:r>
        <w:rPr>
          <w:rFonts w:ascii="Arial" w:hAnsi="Arial"/>
          <w:b/>
          <w:color w:val="0B2545"/>
          <w:sz w:val="18"/>
        </w:rPr>
        <w:t>¶1</w:t>
      </w:r>
    </w:p>
    <w:p>
      <w:r>
        <w:rPr>
          <w:rFonts w:ascii="Arial" w:hAnsi="Arial"/>
          <w:i w:val="0"/>
          <w:color w:val="1A2433"/>
          <w:sz w:val="22"/>
        </w:rPr>
        <w:t>Together, these views make trade-offs, equity, and resilience visible, providing a shared, data-grounded basis for comparison, discussion, and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