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bay-delta-estuary-ecology. Generated from sector_brief_bay-delta-estuary-ecology_prototype_v0_1.html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is the complete document for the sector results kind. Text shared across briefs is edited HERE and nowhere else — the grey line BELOW each paragraph says how many of the 39 briefs carry that exact text. It describes the paragraph above it. Section headings carry no such line. The other briefs of this kind come as short documents holding only what is unique to them.</w:t>
      </w:r>
    </w:p>
    <w:p>
      <w:pPr>
        <w:spacing w:after="20" w:before="100"/>
      </w:pPr>
      <w:r>
        <w:rPr>
          <w:sz w:val="21"/>
          <w:szCs w:val="21"/>
        </w:rPr>
        <w:t xml:space="preserve">COEQWAL results brief · sector</w:t>
      </w:r>
    </w:p>
    <w:p>
      <w:pPr>
        <w:spacing w:after="40" w:before="40"/>
      </w:pPr>
      <w:r>
        <w:rPr>
          <w:rFonts w:ascii="Consolas" w:cs="Consolas" w:eastAsia="Consolas" w:hAnsi="Consolas"/>
          <w:color w:val="1F4E79"/>
          <w:sz w:val="14"/>
          <w:szCs w:val="14"/>
        </w:rPr>
        <w:t xml:space="preserve">↑ ABOVE: shared — appears in 9 of 39 briefs  ·  id: front.p.5795becd</w:t>
      </w:r>
    </w:p>
    <w:p>
      <w:pPr>
        <w:pStyle w:val="Heading1"/>
        <w:spacing w:after="60" w:before="240"/>
      </w:pPr>
      <w:r>
        <w:rPr>
          <w:sz w:val="34"/>
          <w:szCs w:val="34"/>
        </w:rPr>
        <w:t xml:space="preserve">Bay-Delta estuary ecology: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front.h1.35363f98</w:t>
      </w:r>
    </w:p>
    <w:p>
      <w:pPr>
        <w:spacing w:after="20" w:before="100"/>
      </w:pPr>
      <w:r>
        <w:rPr>
          <w:sz w:val="21"/>
          <w:szCs w:val="21"/>
        </w:rPr>
        <w:t xml:space="preserve">A results brief for a general reader — prototype (v0_1), built by the brief builder from the locked 2026-08-01 API snapshot — reporting modeled tier results for one sector of the water system under every management strategy in the ensemble, read across the five hydroclimates, each difference from the baseline split into the two effects that produce it. The build stamp, the run identifiers and the verification status are in references.</w:t>
      </w:r>
    </w:p>
    <w:p>
      <w:pPr>
        <w:spacing w:after="40" w:before="40"/>
      </w:pPr>
      <w:r>
        <w:rPr>
          <w:rFonts w:ascii="Consolas" w:cs="Consolas" w:eastAsia="Consolas" w:hAnsi="Consolas"/>
          <w:color w:val="1F4E79"/>
          <w:sz w:val="14"/>
          <w:szCs w:val="14"/>
        </w:rPr>
        <w:t xml:space="preserve">↑ ABOVE: shared — appears in 9 of 39 briefs  ·  id: front.p.4c2f57f4</w:t>
      </w:r>
    </w:p>
    <w:p>
      <w:pPr>
        <w:spacing w:after="20" w:before="100"/>
      </w:pPr>
      <w:r>
        <w:rPr>
          <w:sz w:val="21"/>
          <w:szCs w:val="21"/>
        </w:rPr>
        <w:t xml:space="preserve">TL;DR. Compared with the baseline — current operations under the historical hydroclimate — modeled tier results for Bay-Delta estuary ecology differ from the baseline in all 23 management strategies under at least one hydroclimate. Reading each strategy under each hydroclimate as one result, 115 in all, the hydroclimate effect is the larger of the two in 64, the operations effect in 50, and neither is larger in the remaining 1. Of the one location behind this sector, the number a strategy changes runs from 0 — Current operations, at the hydroclimate where it reaches fewest — to 1, at Functional environmental flows where it reaches most. No minimum flow requirements is the clearest case of the two effects running opposite ways: under extreme climate stress the hydroclimate contributes +0.4 and the strategy −0.4, leaving no net difference from the baseline.</w:t>
      </w:r>
    </w:p>
    <w:p>
      <w:pPr>
        <w:spacing w:after="40" w:before="40"/>
      </w:pPr>
      <w:r>
        <w:rPr>
          <w:rFonts w:ascii="Consolas" w:cs="Consolas" w:eastAsia="Consolas" w:hAnsi="Consolas"/>
          <w:color w:val="767171"/>
          <w:sz w:val="14"/>
          <w:szCs w:val="14"/>
        </w:rPr>
        <w:t xml:space="preserve">↑ ABOVE: this brief only  ·  id: front.p.27fed7c8</w:t>
      </w:r>
    </w:p>
    <w:p>
      <w:pPr>
        <w:pStyle w:val="Heading2"/>
        <w:spacing w:after="60" w:before="280"/>
      </w:pPr>
      <w:r>
        <w:rPr>
          <w:sz w:val="26"/>
          <w:szCs w:val="26"/>
        </w:rPr>
        <w:t xml:space="preserve">What this is</w:t>
      </w:r>
    </w:p>
    <w:p>
      <w:pPr>
        <w:spacing w:after="40"/>
      </w:pPr>
      <w:r>
        <w:rPr>
          <w:rFonts w:ascii="Consolas" w:cs="Consolas" w:eastAsia="Consolas" w:hAnsi="Consolas"/>
          <w:color w:val="767171"/>
          <w:sz w:val="14"/>
          <w:szCs w:val="14"/>
        </w:rPr>
        <w:t xml:space="preserve">section id: what-this-is</w:t>
      </w:r>
    </w:p>
    <w:p>
      <w:pPr>
        <w:spacing w:after="40" w:before="20"/>
      </w:pPr>
      <w:r>
        <w:rPr>
          <w:rFonts w:ascii="Consolas" w:cs="Consolas" w:eastAsia="Consolas" w:hAnsi="Consolas"/>
          <w:color w:val="767171"/>
          <w:sz w:val="14"/>
          <w:szCs w:val="14"/>
        </w:rPr>
        <w:t xml:space="preserve">↑ ABOVE: heading  ·  id: what-this-is.h2.ca413b84</w:t>
      </w:r>
    </w:p>
    <w:p>
      <w:pPr>
        <w:spacing w:after="20" w:before="100"/>
      </w:pPr>
      <w:r>
        <w:rPr>
          <w:sz w:val="21"/>
          <w:szCs w:val="21"/>
        </w:rPr>
        <w:t xml:space="preserve">This is a results brief: it reports the modeled tier results, and nothing else, for one sector of the water system — Bay-Delta estuary ecology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what-this-is.p.b6fae618</w:t>
      </w:r>
    </w:p>
    <w:p>
      <w:pPr>
        <w:pStyle w:val="Heading2"/>
        <w:spacing w:after="60" w:before="280"/>
      </w:pPr>
      <w:r>
        <w:rPr>
          <w:sz w:val="26"/>
          <w:szCs w:val="26"/>
        </w:rPr>
        <w:t xml:space="preserve">What the model shows</w:t>
      </w:r>
    </w:p>
    <w:p>
      <w:pPr>
        <w:spacing w:after="40"/>
      </w:pPr>
      <w:r>
        <w:rPr>
          <w:rFonts w:ascii="Consolas" w:cs="Consolas" w:eastAsia="Consolas" w:hAnsi="Consolas"/>
          <w:color w:val="767171"/>
          <w:sz w:val="14"/>
          <w:szCs w:val="14"/>
        </w:rPr>
        <w:t xml:space="preserve">section id: what-the-model-shows</w:t>
      </w:r>
    </w:p>
    <w:p>
      <w:pPr>
        <w:spacing w:after="40" w:before="20"/>
      </w:pPr>
      <w:r>
        <w:rPr>
          <w:rFonts w:ascii="Consolas" w:cs="Consolas" w:eastAsia="Consolas" w:hAnsi="Consolas"/>
          <w:color w:val="767171"/>
          <w:sz w:val="14"/>
          <w:szCs w:val="14"/>
        </w:rPr>
        <w:t xml:space="preserve">↑ ABOVE: heading  ·  id: what-the-model-shows.h2.29dc7940</w:t>
      </w:r>
    </w:p>
    <w:p>
      <w:pPr>
        <w:spacing w:after="20" w:before="100"/>
      </w:pPr>
      <w:r>
        <w:rPr>
          <w:sz w:val="21"/>
          <w:szCs w:val="21"/>
        </w:rPr>
        <w:t xml:space="preserve">Across the 23 strategies these runs report, the modeled tier value under the baseline — current operations under the historical hydroclimate — is 3.2, the same value for every row. Read across the five hydroclimates, the values this brief reports range from 2.7 to 3.6. Of the 115 results — one strategy under one hydroclimate — 24 sit in a different tier band from the baseline and 91 sit in the same band; in all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what-the-model-shows.p.47bda39c</w:t>
      </w:r>
    </w:p>
    <w:p>
      <w:pPr>
        <w:spacing w:after="20" w:before="100"/>
      </w:pPr>
      <w:r>
        <w:rPr>
          <w:sz w:val="21"/>
          <w:szCs w:val="21"/>
        </w:rPr>
        <w:t xml:space="preserve">The figure below draws every one of those results beside the baseline, with the two effects that produce the difference shown as separate marks, so a reader can see how much of each difference the hydroclimate carries and how much the strategy does. The section that follows says what the two effects are before the figure draws them; what the tier values themselves mean is set out in how to read the values.</w:t>
      </w:r>
    </w:p>
    <w:p>
      <w:pPr>
        <w:spacing w:after="40" w:before="40"/>
      </w:pPr>
      <w:r>
        <w:rPr>
          <w:rFonts w:ascii="Consolas" w:cs="Consolas" w:eastAsia="Consolas" w:hAnsi="Consolas"/>
          <w:color w:val="A33A3A"/>
          <w:sz w:val="14"/>
          <w:szCs w:val="14"/>
        </w:rPr>
        <w:t xml:space="preserve">↑ ABOVE: shared — appears in all 39 briefs  ·  id: what-the-model-shows.p.7840d217</w:t>
      </w:r>
    </w:p>
    <w:p>
      <w:pPr>
        <w:pStyle w:val="Heading2"/>
        <w:spacing w:after="60" w:before="280"/>
      </w:pPr>
      <w:r>
        <w:rPr>
          <w:sz w:val="26"/>
          <w:szCs w:val="26"/>
        </w:rPr>
        <w:t xml:space="preserve">The baseline, and the two effects</w:t>
      </w:r>
    </w:p>
    <w:p>
      <w:pPr>
        <w:spacing w:after="40"/>
      </w:pPr>
      <w:r>
        <w:rPr>
          <w:rFonts w:ascii="Consolas" w:cs="Consolas" w:eastAsia="Consolas" w:hAnsi="Consolas"/>
          <w:color w:val="767171"/>
          <w:sz w:val="14"/>
          <w:szCs w:val="14"/>
        </w:rPr>
        <w:t xml:space="preserve">section id: decomposition</w:t>
      </w:r>
    </w:p>
    <w:p>
      <w:pPr>
        <w:spacing w:after="40" w:before="20"/>
      </w:pPr>
      <w:r>
        <w:rPr>
          <w:rFonts w:ascii="Consolas" w:cs="Consolas" w:eastAsia="Consolas" w:hAnsi="Consolas"/>
          <w:color w:val="767171"/>
          <w:sz w:val="14"/>
          <w:szCs w:val="14"/>
        </w:rPr>
        <w:t xml:space="preserve">↑ ABOVE: heading  ·  id: decomposition.h2.6b2a870f</w:t>
      </w:r>
    </w:p>
    <w:p>
      <w:pPr>
        <w:spacing w:after="20" w:before="100"/>
      </w:pPr>
      <w:r>
        <w:rPr>
          <w:sz w:val="21"/>
          <w:szCs w:val="21"/>
        </w:rPr>
        <w:t xml:space="preserve">The baseline is current operations under the historical hydroclimate. It is the one reference this brief asks a reader to learn, and it is the same value in every column, because it does not depend on which hydroclimate a scenario pairs with.</w:t>
      </w:r>
    </w:p>
    <w:p>
      <w:pPr>
        <w:spacing w:after="40" w:before="40"/>
      </w:pPr>
      <w:r>
        <w:rPr>
          <w:rFonts w:ascii="Consolas" w:cs="Consolas" w:eastAsia="Consolas" w:hAnsi="Consolas"/>
          <w:color w:val="A33A3A"/>
          <w:sz w:val="14"/>
          <w:szCs w:val="14"/>
        </w:rPr>
        <w:t xml:space="preserve">↑ ABOVE: shared — appears in all 39 briefs  ·  id: decomposition.p.793db02f</w:t>
      </w:r>
    </w:p>
    <w:p>
      <w:pPr>
        <w:spacing w:after="20" w:before="100"/>
      </w:pPr>
      <w:r>
        <w:rPr>
          <w:sz w:val="21"/>
          <w:szCs w:val="21"/>
        </w:rPr>
        <w:t xml:space="preserve">Any difference between a scenario and the baseline comes from two places, and they add exactly:</w:t>
      </w:r>
    </w:p>
    <w:p>
      <w:pPr>
        <w:spacing w:after="40" w:before="40"/>
      </w:pPr>
      <w:r>
        <w:rPr>
          <w:rFonts w:ascii="Consolas" w:cs="Consolas" w:eastAsia="Consolas" w:hAnsi="Consolas"/>
          <w:color w:val="A33A3A"/>
          <w:sz w:val="14"/>
          <w:szCs w:val="14"/>
        </w:rPr>
        <w:t xml:space="preserve">↑ ABOVE: shared — appears in all 39 briefs  ·  id: decomposition.p.fbfe7440</w:t>
      </w:r>
    </w:p>
    <w:p>
      <w:pPr>
        <w:spacing w:after="20" w:before="100"/>
      </w:pPr>
      <w:r>
        <w:rPr>
          <w:sz w:val="21"/>
          <w:szCs w:val="21"/>
        </w:rPr>
        <w:t xml:space="preserve">The hydroclimate effect is current operations under that hydroclimate minus the baseline — the same operations, a different hydroclimate. The operations effect is that strategy minus current operations under that same hydroclimate — the only comparison that holds the hydroclimate fixed, and therefore the only one that isolates what the strategy does. Together they equal the difference from the baseline.</w:t>
      </w:r>
    </w:p>
    <w:p>
      <w:pPr>
        <w:spacing w:after="40" w:before="40"/>
      </w:pPr>
      <w:r>
        <w:rPr>
          <w:rFonts w:ascii="Consolas" w:cs="Consolas" w:eastAsia="Consolas" w:hAnsi="Consolas"/>
          <w:color w:val="1F4E79"/>
          <w:sz w:val="14"/>
          <w:szCs w:val="14"/>
        </w:rPr>
        <w:t xml:space="preserve">↑ ABOVE: shared — appears in 15 of 39 briefs  ·  id: decomposition.p.e70dc34e</w:t>
      </w:r>
    </w:p>
    <w:p>
      <w:pPr>
        <w:spacing w:after="20" w:before="100"/>
      </w:pPr>
      <w:r>
        <w:rPr>
          <w:sz w:val="21"/>
          <w:szCs w:val="21"/>
        </w:rPr>
        <w:t xml:space="preserve">Tier results are reported as a value on a continuous axis from Tier 1 to Tier 4.99, with the four tier bands as shaded zones; the whole number below any value is its band. A value that lands exactly on a whole number takes that band: 4.0 is Tier 4, at the start of its zone rather than the top of Tier 3. The tier scale is ordered by definition, Tier 1 through Tier 4; a band is a category and a position on the axis is a modeled magnitude, neither is a judgment. The scale, the two thresholds and the two fields a tier value comes in are set out in how to read the values.</w:t>
      </w:r>
    </w:p>
    <w:p>
      <w:pPr>
        <w:spacing w:after="40" w:before="40"/>
      </w:pPr>
      <w:r>
        <w:rPr>
          <w:rFonts w:ascii="Consolas" w:cs="Consolas" w:eastAsia="Consolas" w:hAnsi="Consolas"/>
          <w:color w:val="A33A3A"/>
          <w:sz w:val="14"/>
          <w:szCs w:val="14"/>
        </w:rPr>
        <w:t xml:space="preserve">↑ ABOVE: shared — appears in all 39 briefs  ·  id: decomposition.p.248727f7</w:t>
      </w:r>
    </w:p>
    <w:p>
      <w:pPr>
        <w:spacing w:after="20" w:before="100"/>
      </w:pPr>
      <w:r>
        <w:rPr>
          <w:sz w:val="21"/>
          <w:szCs w:val="21"/>
        </w:rPr>
        <w:t xml:space="preserve">Bay-Delta estuary ecology’s tier value is the value at its one location, and every row on this page is measured at that same location: the rows differ in which strategy produced the value, never in what was measured. No averaging takes place, because there is one location to average.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decomposition.p.557753b5</w:t>
      </w:r>
    </w:p>
    <w:p>
      <w:pPr>
        <w:pStyle w:val="Heading2"/>
        <w:spacing w:after="60" w:before="280"/>
      </w:pPr>
      <w:r>
        <w:rPr>
          <w:sz w:val="26"/>
          <w:szCs w:val="26"/>
        </w:rPr>
        <w:t xml:space="preserve">All 23 strategies, all five hydroclimates</w:t>
      </w:r>
    </w:p>
    <w:p>
      <w:pPr>
        <w:spacing w:after="40"/>
      </w:pPr>
      <w:r>
        <w:rPr>
          <w:rFonts w:ascii="Consolas" w:cs="Consolas" w:eastAsia="Consolas" w:hAnsi="Consolas"/>
          <w:color w:val="767171"/>
          <w:sz w:val="14"/>
          <w:szCs w:val="14"/>
        </w:rPr>
        <w:t xml:space="preserve">section id: figure</w:t>
      </w:r>
    </w:p>
    <w:p>
      <w:pPr>
        <w:spacing w:after="40" w:before="20"/>
      </w:pPr>
      <w:r>
        <w:rPr>
          <w:rFonts w:ascii="Consolas" w:cs="Consolas" w:eastAsia="Consolas" w:hAnsi="Consolas"/>
          <w:color w:val="767171"/>
          <w:sz w:val="14"/>
          <w:szCs w:val="14"/>
        </w:rPr>
        <w:t xml:space="preserve">↑ ABOVE: heading  ·  id: figure.h2.a4ec5442</w:t>
      </w:r>
    </w:p>
    <w:p>
      <w:pPr>
        <w:shd w:fill="F2F1EE" w:val="clear"/>
        <w:spacing w:after="80" w:before="80"/>
      </w:pPr>
      <w:r>
        <w:rPr>
          <w:i/>
          <w:iCs/>
          <w:color w:val="333333"/>
          <w:sz w:val="16"/>
          <w:szCs w:val="16"/>
        </w:rPr>
        <w:t xml:space="preserve">[ The figure is not reproduced here. Review it on the HTML page — this copy is for text. ]</w:t>
      </w:r>
    </w:p>
    <w:p>
      <w:pPr>
        <w:spacing w:after="20" w:before="100"/>
      </w:pPr>
      <w:r>
        <w:rPr>
          <w:sz w:val="21"/>
          <w:szCs w:val="21"/>
        </w:rPr>
        <w:t xml:space="preserve">Panel 1 of 3 — strategies 1 to 8 of 23</w:t>
      </w:r>
    </w:p>
    <w:p>
      <w:pPr>
        <w:spacing w:after="40" w:before="40"/>
      </w:pPr>
      <w:r>
        <w:rPr>
          <w:rFonts w:ascii="Consolas" w:cs="Consolas" w:eastAsia="Consolas" w:hAnsi="Consolas"/>
          <w:color w:val="1F4E79"/>
          <w:sz w:val="14"/>
          <w:szCs w:val="14"/>
        </w:rPr>
        <w:t xml:space="preserve">↑ ABOVE: shared — appears in 15 of 39 briefs  ·  id: figure.p.23c31eb0</w:t>
      </w:r>
    </w:p>
    <w:p>
      <w:pPr>
        <w:spacing w:after="20" w:before="100"/>
      </w:pPr>
      <w:r>
        <w:rPr>
          <w:sz w:val="21"/>
          <w:szCs w:val="21"/>
        </w:rPr>
        <w:t xml:space="preserve">Panel 2 of 3 — strategies 9 to 16 of 23</w:t>
      </w:r>
    </w:p>
    <w:p>
      <w:pPr>
        <w:spacing w:after="40" w:before="40"/>
      </w:pPr>
      <w:r>
        <w:rPr>
          <w:rFonts w:ascii="Consolas" w:cs="Consolas" w:eastAsia="Consolas" w:hAnsi="Consolas"/>
          <w:color w:val="1F4E79"/>
          <w:sz w:val="14"/>
          <w:szCs w:val="14"/>
        </w:rPr>
        <w:t xml:space="preserve">↑ ABOVE: shared — appears in 15 of 39 briefs  ·  id: figure.p.bfc497d4</w:t>
      </w:r>
    </w:p>
    <w:p>
      <w:pPr>
        <w:spacing w:after="20" w:before="100"/>
      </w:pPr>
      <w:r>
        <w:rPr>
          <w:sz w:val="21"/>
          <w:szCs w:val="21"/>
        </w:rPr>
        <w:t xml:space="preserve">Panel 3 of 3 — strategies 17 to 23 of 23</w:t>
      </w:r>
    </w:p>
    <w:p>
      <w:pPr>
        <w:spacing w:after="40" w:before="40"/>
      </w:pPr>
      <w:r>
        <w:rPr>
          <w:rFonts w:ascii="Consolas" w:cs="Consolas" w:eastAsia="Consolas" w:hAnsi="Consolas"/>
          <w:color w:val="1F4E79"/>
          <w:sz w:val="14"/>
          <w:szCs w:val="14"/>
        </w:rPr>
        <w:t xml:space="preserve">↑ ABOVE: shared — appears in 15 of 39 briefs  ·  id: figure.p.6e79e510</w:t>
      </w:r>
    </w:p>
    <w:p>
      <w:pPr>
        <w:spacing w:after="20" w:before="100"/>
      </w:pPr>
      <w:r>
        <w:rPr>
          <w:sz w:val="21"/>
          <w:szCs w:val="21"/>
        </w:rPr>
        <w:t xml:space="preserve">The 23 strategies are shown in three stacked panels that share one tier axis. The split is positional and carries no meaning; the panels are read as one figure continued.</w:t>
      </w:r>
    </w:p>
    <w:p>
      <w:pPr>
        <w:spacing w:after="40" w:before="40"/>
      </w:pPr>
      <w:r>
        <w:rPr>
          <w:rFonts w:ascii="Consolas" w:cs="Consolas" w:eastAsia="Consolas" w:hAnsi="Consolas"/>
          <w:color w:val="1F4E79"/>
          <w:sz w:val="14"/>
          <w:szCs w:val="14"/>
        </w:rPr>
        <w:t xml:space="preserve">↑ ABOVE: shared — appears in 15 of 39 briefs  ·  id: figure.p.04f1e7e9</w:t>
      </w:r>
    </w:p>
    <w:p>
      <w:pPr>
        <w:pStyle w:val="Heading2"/>
        <w:spacing w:after="60" w:before="280"/>
      </w:pPr>
      <w:r>
        <w:rPr>
          <w:sz w:val="26"/>
          <w:szCs w:val="26"/>
        </w:rPr>
        <w:t xml:space="preserve">The same 115 results as numbers</w:t>
      </w:r>
    </w:p>
    <w:p>
      <w:pPr>
        <w:spacing w:after="40"/>
      </w:pPr>
      <w:r>
        <w:rPr>
          <w:rFonts w:ascii="Consolas" w:cs="Consolas" w:eastAsia="Consolas" w:hAnsi="Consolas"/>
          <w:color w:val="767171"/>
          <w:sz w:val="14"/>
          <w:szCs w:val="14"/>
        </w:rPr>
        <w:t xml:space="preserve">section id: table</w:t>
      </w:r>
    </w:p>
    <w:p>
      <w:pPr>
        <w:spacing w:after="40" w:before="20"/>
      </w:pPr>
      <w:r>
        <w:rPr>
          <w:rFonts w:ascii="Consolas" w:cs="Consolas" w:eastAsia="Consolas" w:hAnsi="Consolas"/>
          <w:color w:val="767171"/>
          <w:sz w:val="14"/>
          <w:szCs w:val="14"/>
        </w:rPr>
        <w:t xml:space="preserve">↑ ABOVE: heading  ·  id: table.h2.b225cfc8</w:t>
      </w:r>
    </w:p>
    <w:p>
      <w:pPr>
        <w:shd w:fill="F2F1EE" w:val="clear"/>
        <w:spacing w:after="80" w:before="80"/>
      </w:pPr>
      <w:r>
        <w:rPr>
          <w:i/>
          <w:iCs/>
          <w:color w:val="333333"/>
          <w:sz w:val="16"/>
          <w:szCs w:val="16"/>
        </w:rPr>
        <w:t xml:space="preserve">[ The table is not reproduced here. Its values are model output, verified separately. Review it on the HTML page. ]</w:t>
      </w:r>
    </w:p>
    <w:p>
      <w:pPr>
        <w:spacing w:after="20" w:before="100"/>
      </w:pPr>
      <w:r>
        <w:rPr>
          <w:sz w:val="21"/>
          <w:szCs w:val="21"/>
        </w:rPr>
        <w:t xml:space="preserve">Each cell reads top to bottom: the hydroclimate effect, the operations effect, and the resulting value with its band. The two effects add to the difference between the scenario and the baseline. Shaded cells are those where the two run opposite ways. Each hydroclimate column carries its own address for citation, and its own slice of the companion data file.</w:t>
      </w:r>
    </w:p>
    <w:p>
      <w:pPr>
        <w:spacing w:after="40" w:before="40"/>
      </w:pPr>
      <w:r>
        <w:rPr>
          <w:rFonts w:ascii="Consolas" w:cs="Consolas" w:eastAsia="Consolas" w:hAnsi="Consolas"/>
          <w:color w:val="1F4E79"/>
          <w:sz w:val="14"/>
          <w:szCs w:val="14"/>
        </w:rPr>
        <w:t xml:space="preserve">↑ ABOVE: shared — appears in 37 of 39 briefs  ·  id: table.p.0d50b931</w:t>
      </w:r>
    </w:p>
    <w:p>
      <w:pPr>
        <w:pStyle w:val="Heading2"/>
        <w:spacing w:after="60" w:before="280"/>
      </w:pPr>
      <w:r>
        <w:rPr>
          <w:sz w:val="26"/>
          <w:szCs w:val="26"/>
        </w:rPr>
        <w:t xml:space="preserve">How many places each strategy reaches</w:t>
      </w:r>
    </w:p>
    <w:p>
      <w:pPr>
        <w:spacing w:after="40"/>
      </w:pPr>
      <w:r>
        <w:rPr>
          <w:rFonts w:ascii="Consolas" w:cs="Consolas" w:eastAsia="Consolas" w:hAnsi="Consolas"/>
          <w:color w:val="767171"/>
          <w:sz w:val="14"/>
          <w:szCs w:val="14"/>
        </w:rPr>
        <w:t xml:space="preserve">section id: reach</w:t>
      </w:r>
    </w:p>
    <w:p>
      <w:pPr>
        <w:spacing w:after="40" w:before="20"/>
      </w:pPr>
      <w:r>
        <w:rPr>
          <w:rFonts w:ascii="Consolas" w:cs="Consolas" w:eastAsia="Consolas" w:hAnsi="Consolas"/>
          <w:color w:val="767171"/>
          <w:sz w:val="14"/>
          <w:szCs w:val="14"/>
        </w:rPr>
        <w:t xml:space="preserve">↑ ABOVE: heading  ·  id: reach.h2.fac2d429</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one location behind this sector, the number a strategy changes runs from 0 — Current operations, at the hydroclimate where it reaches fewest — to 1, at Functional environmental flows where it reaches most. 12 of them differ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reach.p.a8965d97</w:t>
      </w:r>
    </w:p>
    <w:p>
      <w:pPr>
        <w:spacing w:after="20" w:before="100"/>
      </w:pPr>
      <w:r>
        <w:rPr>
          <w:sz w:val="21"/>
          <w:szCs w:val="21"/>
        </w:rPr>
        <w:t xml:space="preserve">Read across the five hydroclimates together, 37 of the 115 location-and-hydroclimate results reported here differ from current operations: 37 toward Tier 1, 0 toward Tier 4. The median difference over the locations counted runs from 0.1 tier units at Reduce Delta outflows (35% of unimpaired flow) to 0.2 at No minimum flow requirements.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reach.p.d1d0ae75</w:t>
      </w:r>
    </w:p>
    <w:p>
      <w:pPr>
        <w:pStyle w:val="Heading2"/>
        <w:spacing w:after="60" w:before="280"/>
      </w:pPr>
      <w:r>
        <w:rPr>
          <w:sz w:val="26"/>
          <w:szCs w:val="26"/>
        </w:rPr>
        <w:t xml:space="preserve">Related briefs</w:t>
      </w:r>
    </w:p>
    <w:p>
      <w:pPr>
        <w:spacing w:after="40"/>
      </w:pPr>
      <w:r>
        <w:rPr>
          <w:rFonts w:ascii="Consolas" w:cs="Consolas" w:eastAsia="Consolas" w:hAnsi="Consolas"/>
          <w:color w:val="767171"/>
          <w:sz w:val="14"/>
          <w:szCs w:val="14"/>
        </w:rPr>
        <w:t xml:space="preserve">section id: related-briefs</w:t>
      </w:r>
    </w:p>
    <w:p>
      <w:pPr>
        <w:spacing w:after="40" w:before="20"/>
      </w:pPr>
      <w:r>
        <w:rPr>
          <w:rFonts w:ascii="Consolas" w:cs="Consolas" w:eastAsia="Consolas" w:hAnsi="Consolas"/>
          <w:color w:val="767171"/>
          <w:sz w:val="14"/>
          <w:szCs w:val="14"/>
        </w:rPr>
        <w:t xml:space="preserve">↑ ABOVE: heading  ·  id: related-briefs.h2.aefdcbdc</w:t>
      </w:r>
    </w:p>
    <w:p>
      <w:pPr>
        <w:spacing w:after="20" w:before="100"/>
      </w:pPr>
      <w:r>
        <w:rPr>
          <w:sz w:val="21"/>
          <w:szCs w:val="21"/>
        </w:rPr>
        <w:t xml:space="preserve">What happens in another sector? A sector brief reports one sector of the water system, every strategy, the same five hydroclimates:</w:t>
      </w:r>
    </w:p>
    <w:p>
      <w:pPr>
        <w:spacing w:after="40" w:before="40"/>
      </w:pPr>
      <w:r>
        <w:rPr>
          <w:rFonts w:ascii="Consolas" w:cs="Consolas" w:eastAsia="Consolas" w:hAnsi="Consolas"/>
          <w:color w:val="1F4E79"/>
          <w:sz w:val="14"/>
          <w:szCs w:val="14"/>
        </w:rPr>
        <w:t xml:space="preserve">↑ ABOVE: shared — appears in 9 of 39 briefs  ·  id: related-briefs.p.68cc5f61</w:t>
      </w:r>
    </w:p>
    <w:p>
      <w:pPr>
        <w:spacing w:after="20" w:before="60"/>
        <w:ind w:left="360"/>
      </w:pPr>
      <w:r>
        <w:rPr>
          <w:sz w:val="21"/>
          <w:szCs w:val="21"/>
        </w:rPr>
        <w:t xml:space="preserve">— Agriculture</w:t>
      </w:r>
    </w:p>
    <w:p>
      <w:pPr>
        <w:spacing w:after="40" w:before="40"/>
      </w:pPr>
      <w:r>
        <w:rPr>
          <w:rFonts w:ascii="Consolas" w:cs="Consolas" w:eastAsia="Consolas" w:hAnsi="Consolas"/>
          <w:color w:val="1F4E79"/>
          <w:sz w:val="14"/>
          <w:szCs w:val="14"/>
        </w:rPr>
        <w:t xml:space="preserve">↑ ABOVE: shared — appears in 32 of 39 briefs  ·  id: related-briefs.li.8d1cd3f0</w:t>
      </w:r>
    </w:p>
    <w:p>
      <w:pPr>
        <w:spacing w:after="20" w:before="60"/>
        <w:ind w:left="360"/>
      </w:pPr>
      <w:r>
        <w:rPr>
          <w:sz w:val="21"/>
          <w:szCs w:val="21"/>
        </w:rPr>
        <w:t xml:space="preserve">— Bay-Delta estuary ecology — you are here</w:t>
      </w:r>
    </w:p>
    <w:p>
      <w:pPr>
        <w:spacing w:after="40" w:before="40"/>
      </w:pPr>
      <w:r>
        <w:rPr>
          <w:rFonts w:ascii="Consolas" w:cs="Consolas" w:eastAsia="Consolas" w:hAnsi="Consolas"/>
          <w:color w:val="767171"/>
          <w:sz w:val="14"/>
          <w:szCs w:val="14"/>
        </w:rPr>
        <w:t xml:space="preserve">↑ ABOVE: this brief only  ·  id: related-briefs.li.965d5673</w:t>
      </w:r>
    </w:p>
    <w:p>
      <w:pPr>
        <w:spacing w:after="20" w:before="60"/>
        <w:ind w:left="360"/>
      </w:pPr>
      <w:r>
        <w:rPr>
          <w:sz w:val="21"/>
          <w:szCs w:val="21"/>
        </w:rPr>
        <w:t xml:space="preserve">— Community water systems</w:t>
      </w:r>
    </w:p>
    <w:p>
      <w:pPr>
        <w:spacing w:after="40" w:before="40"/>
      </w:pPr>
      <w:r>
        <w:rPr>
          <w:rFonts w:ascii="Consolas" w:cs="Consolas" w:eastAsia="Consolas" w:hAnsi="Consolas"/>
          <w:color w:val="1F4E79"/>
          <w:sz w:val="14"/>
          <w:szCs w:val="14"/>
        </w:rPr>
        <w:t xml:space="preserve">↑ ABOVE: shared — appears in 32 of 39 briefs  ·  id: related-briefs.li.bac999b7</w:t>
      </w:r>
    </w:p>
    <w:p>
      <w:pPr>
        <w:spacing w:after="20" w:before="60"/>
        <w:ind w:left="360"/>
      </w:pPr>
      <w:r>
        <w:rPr>
          <w:sz w:val="21"/>
          <w:szCs w:val="21"/>
        </w:rPr>
        <w:t xml:space="preserve">— Environmental flows</w:t>
      </w:r>
    </w:p>
    <w:p>
      <w:pPr>
        <w:spacing w:after="40" w:before="40"/>
      </w:pPr>
      <w:r>
        <w:rPr>
          <w:rFonts w:ascii="Consolas" w:cs="Consolas" w:eastAsia="Consolas" w:hAnsi="Consolas"/>
          <w:color w:val="1F4E79"/>
          <w:sz w:val="14"/>
          <w:szCs w:val="14"/>
        </w:rPr>
        <w:t xml:space="preserve">↑ ABOVE: shared — appears in 32 of 39 briefs  ·  id: related-briefs.li.b1863999</w:t>
      </w:r>
    </w:p>
    <w:p>
      <w:pPr>
        <w:spacing w:after="20" w:before="60"/>
        <w:ind w:left="360"/>
      </w:pPr>
      <w:r>
        <w:rPr>
          <w:sz w:val="21"/>
          <w:szCs w:val="21"/>
        </w:rPr>
        <w:t xml:space="preserve">— Freshwater for Delta exports</w:t>
      </w:r>
    </w:p>
    <w:p>
      <w:pPr>
        <w:spacing w:after="40" w:before="40"/>
      </w:pPr>
      <w:r>
        <w:rPr>
          <w:rFonts w:ascii="Consolas" w:cs="Consolas" w:eastAsia="Consolas" w:hAnsi="Consolas"/>
          <w:color w:val="1F4E79"/>
          <w:sz w:val="14"/>
          <w:szCs w:val="14"/>
        </w:rPr>
        <w:t xml:space="preserve">↑ ABOVE: shared — appears in 32 of 39 briefs  ·  id: related-briefs.li.10032cb7</w:t>
      </w:r>
    </w:p>
    <w:p>
      <w:pPr>
        <w:spacing w:after="20" w:before="60"/>
        <w:ind w:left="360"/>
      </w:pPr>
      <w:r>
        <w:rPr>
          <w:sz w:val="21"/>
          <w:szCs w:val="21"/>
        </w:rPr>
        <w:t xml:space="preserve">— Freshwater for in-Delta uses</w:t>
      </w:r>
    </w:p>
    <w:p>
      <w:pPr>
        <w:spacing w:after="40" w:before="40"/>
      </w:pPr>
      <w:r>
        <w:rPr>
          <w:rFonts w:ascii="Consolas" w:cs="Consolas" w:eastAsia="Consolas" w:hAnsi="Consolas"/>
          <w:color w:val="1F4E79"/>
          <w:sz w:val="14"/>
          <w:szCs w:val="14"/>
        </w:rPr>
        <w:t xml:space="preserve">↑ ABOVE: shared — appears in 32 of 39 briefs  ·  id: related-briefs.li.7c2b4043</w:t>
      </w:r>
    </w:p>
    <w:p>
      <w:pPr>
        <w:spacing w:after="20" w:before="60"/>
        <w:ind w:left="360"/>
      </w:pPr>
      <w:r>
        <w:rPr>
          <w:sz w:val="21"/>
          <w:szCs w:val="21"/>
        </w:rPr>
        <w:t xml:space="preserve">— Groundwater storage</w:t>
      </w:r>
    </w:p>
    <w:p>
      <w:pPr>
        <w:spacing w:after="40" w:before="40"/>
      </w:pPr>
      <w:r>
        <w:rPr>
          <w:rFonts w:ascii="Consolas" w:cs="Consolas" w:eastAsia="Consolas" w:hAnsi="Consolas"/>
          <w:color w:val="1F4E79"/>
          <w:sz w:val="14"/>
          <w:szCs w:val="14"/>
        </w:rPr>
        <w:t xml:space="preserve">↑ ABOVE: shared — appears in 32 of 39 briefs  ·  id: related-briefs.li.40aa6c62</w:t>
      </w:r>
    </w:p>
    <w:p>
      <w:pPr>
        <w:spacing w:after="20" w:before="60"/>
        <w:ind w:left="360"/>
      </w:pPr>
      <w:r>
        <w:rPr>
          <w:sz w:val="21"/>
          <w:szCs w:val="21"/>
        </w:rPr>
        <w:t xml:space="preserve">— Reservoir storage</w:t>
      </w:r>
    </w:p>
    <w:p>
      <w:pPr>
        <w:spacing w:after="40" w:before="40"/>
      </w:pPr>
      <w:r>
        <w:rPr>
          <w:rFonts w:ascii="Consolas" w:cs="Consolas" w:eastAsia="Consolas" w:hAnsi="Consolas"/>
          <w:color w:val="1F4E79"/>
          <w:sz w:val="14"/>
          <w:szCs w:val="14"/>
        </w:rPr>
        <w:t xml:space="preserve">↑ ABOVE: shared — appears in 32 of 39 briefs  ·  id: related-briefs.li.c9c20c5e</w:t>
      </w:r>
    </w:p>
    <w:p>
      <w:pPr>
        <w:spacing w:after="20" w:before="60"/>
        <w:ind w:left="360"/>
      </w:pPr>
      <w:r>
        <w:rPr>
          <w:sz w:val="21"/>
          <w:szCs w:val="21"/>
        </w:rPr>
        <w:t xml:space="preserve">— Winter-run Chinook salmon</w:t>
      </w:r>
    </w:p>
    <w:p>
      <w:pPr>
        <w:spacing w:after="40" w:before="40"/>
      </w:pPr>
      <w:r>
        <w:rPr>
          <w:rFonts w:ascii="Consolas" w:cs="Consolas" w:eastAsia="Consolas" w:hAnsi="Consolas"/>
          <w:color w:val="1F4E79"/>
          <w:sz w:val="14"/>
          <w:szCs w:val="14"/>
        </w:rPr>
        <w:t xml:space="preserve">↑ ABOVE: shared — appears in 32 of 39 briefs  ·  id: related-briefs.li.bde4501e</w:t>
      </w:r>
    </w:p>
    <w:p>
      <w:pPr>
        <w:spacing w:after="20" w:before="100"/>
      </w:pPr>
      <w:r>
        <w:rPr>
          <w:sz w:val="21"/>
          <w:szCs w:val="21"/>
        </w:rPr>
        <w:t xml:space="preserve">What happens across all nine sectors under one strategy? This brief holds the sector fixed and varies the strategy. The transpose does the reverse, reporting every sector under one strategy: one brief per strategy, and one more that holds the strategy at current operations:</w:t>
      </w:r>
    </w:p>
    <w:p>
      <w:pPr>
        <w:spacing w:after="40" w:before="40"/>
      </w:pPr>
      <w:r>
        <w:rPr>
          <w:rFonts w:ascii="Consolas" w:cs="Consolas" w:eastAsia="Consolas" w:hAnsi="Consolas"/>
          <w:color w:val="1F4E79"/>
          <w:sz w:val="14"/>
          <w:szCs w:val="14"/>
        </w:rPr>
        <w:t xml:space="preserve">↑ ABOVE: shared — appears in 9 of 39 briefs  ·  id: related-briefs.p.0c13be9e</w:t>
      </w:r>
    </w:p>
    <w:p>
      <w:pPr>
        <w:spacing w:after="20" w:before="60"/>
        <w:ind w:left="360"/>
      </w:pPr>
      <w:r>
        <w:rPr>
          <w:sz w:val="21"/>
          <w:szCs w:val="21"/>
        </w:rPr>
        <w:t xml:space="preserve">— Current operations</w:t>
      </w:r>
    </w:p>
    <w:p>
      <w:pPr>
        <w:spacing w:after="40" w:before="40"/>
      </w:pPr>
      <w:r>
        <w:rPr>
          <w:rFonts w:ascii="Consolas" w:cs="Consolas" w:eastAsia="Consolas" w:hAnsi="Consolas"/>
          <w:color w:val="1F4E79"/>
          <w:sz w:val="14"/>
          <w:szCs w:val="14"/>
        </w:rPr>
        <w:t xml:space="preserve">↑ ABOVE: shared — appears in 38 of 39 briefs  ·  id: related-briefs.li.1738bd57</w:t>
      </w:r>
    </w:p>
    <w:p>
      <w:pPr>
        <w:spacing w:after="20" w:before="60"/>
        <w:ind w:left="360"/>
      </w:pPr>
      <w:r>
        <w:rPr>
          <w:sz w:val="21"/>
          <w:szCs w:val="21"/>
        </w:rPr>
        <w:t xml:space="preserve">— Current operations with historical land use</w:t>
      </w:r>
    </w:p>
    <w:p>
      <w:pPr>
        <w:spacing w:after="40" w:before="40"/>
      </w:pPr>
      <w:r>
        <w:rPr>
          <w:rFonts w:ascii="Consolas" w:cs="Consolas" w:eastAsia="Consolas" w:hAnsi="Consolas"/>
          <w:color w:val="1F4E79"/>
          <w:sz w:val="14"/>
          <w:szCs w:val="14"/>
        </w:rPr>
        <w:t xml:space="preserve">↑ ABOVE: shared — appears in 38 of 39 briefs  ·  id: related-briefs.li.f114820d</w:t>
      </w:r>
    </w:p>
    <w:p>
      <w:pPr>
        <w:spacing w:after="20" w:before="60"/>
        <w:ind w:left="360"/>
      </w:pPr>
      <w:r>
        <w:rPr>
          <w:sz w:val="21"/>
          <w:szCs w:val="21"/>
        </w:rPr>
        <w:t xml:space="preserve">— Current operations without TUCPs</w:t>
      </w:r>
    </w:p>
    <w:p>
      <w:pPr>
        <w:spacing w:after="40" w:before="40"/>
      </w:pPr>
      <w:r>
        <w:rPr>
          <w:rFonts w:ascii="Consolas" w:cs="Consolas" w:eastAsia="Consolas" w:hAnsi="Consolas"/>
          <w:color w:val="1F4E79"/>
          <w:sz w:val="14"/>
          <w:szCs w:val="14"/>
        </w:rPr>
        <w:t xml:space="preserve">↑ ABOVE: shared — appears in 38 of 39 briefs  ·  id: related-briefs.li.e24f23ae</w:t>
      </w:r>
    </w:p>
    <w:p>
      <w:pPr>
        <w:spacing w:after="20" w:before="60"/>
        <w:ind w:left="360"/>
      </w:pPr>
      <w:r>
        <w:rPr>
          <w:sz w:val="21"/>
          <w:szCs w:val="21"/>
        </w:rPr>
        <w:t xml:space="preserve">— Current USBR operations</w:t>
      </w:r>
    </w:p>
    <w:p>
      <w:pPr>
        <w:spacing w:after="40" w:before="40"/>
      </w:pPr>
      <w:r>
        <w:rPr>
          <w:rFonts w:ascii="Consolas" w:cs="Consolas" w:eastAsia="Consolas" w:hAnsi="Consolas"/>
          <w:color w:val="1F4E79"/>
          <w:sz w:val="14"/>
          <w:szCs w:val="14"/>
        </w:rPr>
        <w:t xml:space="preserve">↑ ABOVE: shared — appears in 38 of 39 briefs  ·  id: related-briefs.li.f1bcf9c8</w:t>
      </w:r>
    </w:p>
    <w:p>
      <w:pPr>
        <w:spacing w:after="20" w:before="60"/>
        <w:ind w:left="360"/>
      </w:pPr>
      <w:r>
        <w:rPr>
          <w:sz w:val="21"/>
          <w:szCs w:val="21"/>
        </w:rPr>
        <w:t xml:space="preserve">— Current USBR operations without TUCPs</w:t>
      </w:r>
    </w:p>
    <w:p>
      <w:pPr>
        <w:spacing w:after="40" w:before="40"/>
      </w:pPr>
      <w:r>
        <w:rPr>
          <w:rFonts w:ascii="Consolas" w:cs="Consolas" w:eastAsia="Consolas" w:hAnsi="Consolas"/>
          <w:color w:val="1F4E79"/>
          <w:sz w:val="14"/>
          <w:szCs w:val="14"/>
        </w:rPr>
        <w:t xml:space="preserve">↑ ABOVE: shared — appears in 38 of 39 briefs  ·  id: related-briefs.li.a0d4529b</w:t>
      </w:r>
    </w:p>
    <w:p>
      <w:pPr>
        <w:spacing w:after="20" w:before="60"/>
        <w:ind w:left="360"/>
      </w:pPr>
      <w:r>
        <w:rPr>
          <w:sz w:val="21"/>
          <w:szCs w:val="21"/>
        </w:rPr>
        <w:t xml:space="preserve">— Delta Conveyance Project</w:t>
      </w:r>
    </w:p>
    <w:p>
      <w:pPr>
        <w:spacing w:after="40" w:before="40"/>
      </w:pPr>
      <w:r>
        <w:rPr>
          <w:rFonts w:ascii="Consolas" w:cs="Consolas" w:eastAsia="Consolas" w:hAnsi="Consolas"/>
          <w:color w:val="1F4E79"/>
          <w:sz w:val="14"/>
          <w:szCs w:val="14"/>
        </w:rPr>
        <w:t xml:space="preserve">↑ ABOVE: shared — appears in 38 of 39 briefs  ·  id: related-briefs.li.eb4e04a2</w:t>
      </w:r>
    </w:p>
    <w:p>
      <w:pPr>
        <w:spacing w:after="20" w:before="60"/>
        <w:ind w:left="360"/>
      </w:pPr>
      <w:r>
        <w:rPr>
          <w:sz w:val="21"/>
          <w:szCs w:val="21"/>
        </w:rPr>
        <w:t xml:space="preserve">— Functional environmental flows</w:t>
      </w:r>
    </w:p>
    <w:p>
      <w:pPr>
        <w:spacing w:after="40" w:before="40"/>
      </w:pPr>
      <w:r>
        <w:rPr>
          <w:rFonts w:ascii="Consolas" w:cs="Consolas" w:eastAsia="Consolas" w:hAnsi="Consolas"/>
          <w:color w:val="1F4E79"/>
          <w:sz w:val="14"/>
          <w:szCs w:val="14"/>
        </w:rPr>
        <w:t xml:space="preserve">↑ ABOVE: shared — appears in 38 of 39 briefs  ·  id: related-briefs.li.f63a078e</w:t>
      </w:r>
    </w:p>
    <w:p>
      <w:pPr>
        <w:spacing w:after="20" w:before="60"/>
        <w:ind w:left="360"/>
      </w:pPr>
      <w:r>
        <w:rPr>
          <w:sz w:val="21"/>
          <w:szCs w:val="21"/>
        </w:rPr>
        <w:t xml:space="preserve">— Functional environmental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related-briefs.li.1ee0a5d9</w:t>
      </w:r>
    </w:p>
    <w:p>
      <w:pPr>
        <w:spacing w:after="20" w:before="60"/>
        <w:ind w:left="360"/>
      </w:pPr>
      <w:r>
        <w:rPr>
          <w:sz w:val="21"/>
          <w:szCs w:val="21"/>
        </w:rPr>
        <w:t xml:space="preserve">— Groundwater pumping limits and reduced crop acreage in the Central Valley</w:t>
      </w:r>
    </w:p>
    <w:p>
      <w:pPr>
        <w:spacing w:after="40" w:before="40"/>
      </w:pPr>
      <w:r>
        <w:rPr>
          <w:rFonts w:ascii="Consolas" w:cs="Consolas" w:eastAsia="Consolas" w:hAnsi="Consolas"/>
          <w:color w:val="1F4E79"/>
          <w:sz w:val="14"/>
          <w:szCs w:val="14"/>
        </w:rPr>
        <w:t xml:space="preserve">↑ ABOVE: shared — appears in 38 of 39 briefs  ·  id: related-briefs.li.1b7be0b1</w:t>
      </w:r>
    </w:p>
    <w:p>
      <w:pPr>
        <w:spacing w:after="20" w:before="60"/>
        <w:ind w:left="360"/>
      </w:pPr>
      <w:r>
        <w:rPr>
          <w:sz w:val="21"/>
          <w:szCs w:val="21"/>
        </w:rPr>
        <w:t xml:space="preserve">— Groundwater pumping limits and reduced crop acreage in the San Joaquin Valley</w:t>
      </w:r>
    </w:p>
    <w:p>
      <w:pPr>
        <w:spacing w:after="40" w:before="40"/>
      </w:pPr>
      <w:r>
        <w:rPr>
          <w:rFonts w:ascii="Consolas" w:cs="Consolas" w:eastAsia="Consolas" w:hAnsi="Consolas"/>
          <w:color w:val="1F4E79"/>
          <w:sz w:val="14"/>
          <w:szCs w:val="14"/>
        </w:rPr>
        <w:t xml:space="preserve">↑ ABOVE: shared — appears in 38 of 39 briefs  ·  id: related-briefs.li.148fa552</w:t>
      </w:r>
    </w:p>
    <w:p>
      <w:pPr>
        <w:spacing w:after="20" w:before="60"/>
        <w:ind w:left="360"/>
      </w:pPr>
      <w:r>
        <w:rPr>
          <w:sz w:val="21"/>
          <w:szCs w:val="21"/>
        </w:rPr>
        <w:t xml:space="preserve">— Groundwater pumping limits in the Central Valley</w:t>
      </w:r>
    </w:p>
    <w:p>
      <w:pPr>
        <w:spacing w:after="40" w:before="40"/>
      </w:pPr>
      <w:r>
        <w:rPr>
          <w:rFonts w:ascii="Consolas" w:cs="Consolas" w:eastAsia="Consolas" w:hAnsi="Consolas"/>
          <w:color w:val="1F4E79"/>
          <w:sz w:val="14"/>
          <w:szCs w:val="14"/>
        </w:rPr>
        <w:t xml:space="preserve">↑ ABOVE: shared — appears in 38 of 39 briefs  ·  id: related-briefs.li.37ffec90</w:t>
      </w:r>
    </w:p>
    <w:p>
      <w:pPr>
        <w:spacing w:after="20" w:before="60"/>
        <w:ind w:left="360"/>
      </w:pPr>
      <w:r>
        <w:rPr>
          <w:sz w:val="21"/>
          <w:szCs w:val="21"/>
        </w:rPr>
        <w:t xml:space="preserve">— Groundwater pumping limits in the San Joaquin Valley</w:t>
      </w:r>
    </w:p>
    <w:p>
      <w:pPr>
        <w:spacing w:after="40" w:before="40"/>
      </w:pPr>
      <w:r>
        <w:rPr>
          <w:rFonts w:ascii="Consolas" w:cs="Consolas" w:eastAsia="Consolas" w:hAnsi="Consolas"/>
          <w:color w:val="1F4E79"/>
          <w:sz w:val="14"/>
          <w:szCs w:val="14"/>
        </w:rPr>
        <w:t xml:space="preserve">↑ ABOVE: shared — appears in 38 of 39 briefs  ·  id: related-briefs.li.4dcc145b</w:t>
      </w:r>
    </w:p>
    <w:p>
      <w:pPr>
        <w:spacing w:after="20" w:before="60"/>
        <w:ind w:left="360"/>
      </w:pPr>
      <w:r>
        <w:rPr>
          <w:sz w:val="21"/>
          <w:szCs w:val="21"/>
        </w:rPr>
        <w:t xml:space="preserve">— Increase Delta outflows (55% of unimpaired flow)</w:t>
      </w:r>
    </w:p>
    <w:p>
      <w:pPr>
        <w:spacing w:after="40" w:before="40"/>
      </w:pPr>
      <w:r>
        <w:rPr>
          <w:rFonts w:ascii="Consolas" w:cs="Consolas" w:eastAsia="Consolas" w:hAnsi="Consolas"/>
          <w:color w:val="1F4E79"/>
          <w:sz w:val="14"/>
          <w:szCs w:val="14"/>
        </w:rPr>
        <w:t xml:space="preserve">↑ ABOVE: shared — appears in 38 of 39 briefs  ·  id: related-briefs.li.5de75544</w:t>
      </w:r>
    </w:p>
    <w:p>
      <w:pPr>
        <w:spacing w:after="20" w:before="60"/>
        <w:ind w:left="360"/>
      </w:pPr>
      <w:r>
        <w:rPr>
          <w:sz w:val="21"/>
          <w:szCs w:val="21"/>
        </w:rPr>
        <w:t xml:space="preserve">— Increase Delta outflows (65% of unimpaired flow)</w:t>
      </w:r>
    </w:p>
    <w:p>
      <w:pPr>
        <w:spacing w:after="40" w:before="40"/>
      </w:pPr>
      <w:r>
        <w:rPr>
          <w:rFonts w:ascii="Consolas" w:cs="Consolas" w:eastAsia="Consolas" w:hAnsi="Consolas"/>
          <w:color w:val="1F4E79"/>
          <w:sz w:val="14"/>
          <w:szCs w:val="14"/>
        </w:rPr>
        <w:t xml:space="preserve">↑ ABOVE: shared — appears in 38 of 39 briefs  ·  id: related-briefs.li.d835f166</w:t>
      </w:r>
    </w:p>
    <w:p>
      <w:pPr>
        <w:spacing w:after="20" w:before="60"/>
        <w:ind w:left="360"/>
      </w:pPr>
      <w:r>
        <w:rPr>
          <w:sz w:val="21"/>
          <w:szCs w:val="21"/>
        </w:rPr>
        <w:t xml:space="preserve">— Increase Shasta carry-over storage</w:t>
      </w:r>
    </w:p>
    <w:p>
      <w:pPr>
        <w:spacing w:after="40" w:before="40"/>
      </w:pPr>
      <w:r>
        <w:rPr>
          <w:rFonts w:ascii="Consolas" w:cs="Consolas" w:eastAsia="Consolas" w:hAnsi="Consolas"/>
          <w:color w:val="1F4E79"/>
          <w:sz w:val="14"/>
          <w:szCs w:val="14"/>
        </w:rPr>
        <w:t xml:space="preserve">↑ ABOVE: shared — appears in 38 of 39 briefs  ·  id: related-briefs.li.b3511fd2</w:t>
      </w:r>
    </w:p>
    <w:p>
      <w:pPr>
        <w:spacing w:after="20" w:before="60"/>
        <w:ind w:left="360"/>
      </w:pPr>
      <w:r>
        <w:rPr>
          <w:sz w:val="21"/>
          <w:szCs w:val="21"/>
        </w:rPr>
        <w:t xml:space="preserve">— Maintain Delta outflows (45% of unimpaired flow)</w:t>
      </w:r>
    </w:p>
    <w:p>
      <w:pPr>
        <w:spacing w:after="40" w:before="40"/>
      </w:pPr>
      <w:r>
        <w:rPr>
          <w:rFonts w:ascii="Consolas" w:cs="Consolas" w:eastAsia="Consolas" w:hAnsi="Consolas"/>
          <w:color w:val="1F4E79"/>
          <w:sz w:val="14"/>
          <w:szCs w:val="14"/>
        </w:rPr>
        <w:t xml:space="preserve">↑ ABOVE: shared — appears in 38 of 39 briefs  ·  id: related-briefs.li.ef841eb3</w:t>
      </w:r>
    </w:p>
    <w:p>
      <w:pPr>
        <w:spacing w:after="20" w:before="60"/>
        <w:ind w:left="360"/>
      </w:pPr>
      <w:r>
        <w:rPr>
          <w:sz w:val="21"/>
          <w:szCs w:val="21"/>
        </w:rPr>
        <w:t xml:space="preserve">— No minimum flow requirements</w:t>
      </w:r>
    </w:p>
    <w:p>
      <w:pPr>
        <w:spacing w:after="40" w:before="40"/>
      </w:pPr>
      <w:r>
        <w:rPr>
          <w:rFonts w:ascii="Consolas" w:cs="Consolas" w:eastAsia="Consolas" w:hAnsi="Consolas"/>
          <w:color w:val="1F4E79"/>
          <w:sz w:val="14"/>
          <w:szCs w:val="14"/>
        </w:rPr>
        <w:t xml:space="preserve">↑ ABOVE: shared — appears in 38 of 39 briefs  ·  id: related-briefs.li.dc8c0608</w:t>
      </w:r>
    </w:p>
    <w:p>
      <w:pPr>
        <w:spacing w:after="20" w:before="60"/>
        <w:ind w:left="360"/>
      </w:pPr>
      <w:r>
        <w:rPr>
          <w:sz w:val="21"/>
          <w:szCs w:val="21"/>
        </w:rPr>
        <w:t xml:space="preserve">— Prioritizing full demands of community water systems</w:t>
      </w:r>
    </w:p>
    <w:p>
      <w:pPr>
        <w:spacing w:after="40" w:before="40"/>
      </w:pPr>
      <w:r>
        <w:rPr>
          <w:rFonts w:ascii="Consolas" w:cs="Consolas" w:eastAsia="Consolas" w:hAnsi="Consolas"/>
          <w:color w:val="1F4E79"/>
          <w:sz w:val="14"/>
          <w:szCs w:val="14"/>
        </w:rPr>
        <w:t xml:space="preserve">↑ ABOVE: shared — appears in 38 of 39 briefs  ·  id: related-briefs.li.eb184b7e</w:t>
      </w:r>
    </w:p>
    <w:p>
      <w:pPr>
        <w:spacing w:after="20" w:before="60"/>
        <w:ind w:left="360"/>
      </w:pPr>
      <w:r>
        <w:rPr>
          <w:sz w:val="21"/>
          <w:szCs w:val="21"/>
        </w:rPr>
        <w:t xml:space="preserve">— Prioritizing human health delivery levels to community water systems</w:t>
      </w:r>
    </w:p>
    <w:p>
      <w:pPr>
        <w:spacing w:after="40" w:before="40"/>
      </w:pPr>
      <w:r>
        <w:rPr>
          <w:rFonts w:ascii="Consolas" w:cs="Consolas" w:eastAsia="Consolas" w:hAnsi="Consolas"/>
          <w:color w:val="1F4E79"/>
          <w:sz w:val="14"/>
          <w:szCs w:val="14"/>
        </w:rPr>
        <w:t xml:space="preserve">↑ ABOVE: shared — appears in 38 of 39 briefs  ·  id: related-briefs.li.41b67391</w:t>
      </w:r>
    </w:p>
    <w:p>
      <w:pPr>
        <w:spacing w:after="20" w:before="60"/>
        <w:ind w:left="360"/>
      </w:pPr>
      <w:r>
        <w:rPr>
          <w:sz w:val="21"/>
          <w:szCs w:val="21"/>
        </w:rPr>
        <w:t xml:space="preserve">— Reduce Delta outflows (35% of unimpaired flow)</w:t>
      </w:r>
    </w:p>
    <w:p>
      <w:pPr>
        <w:spacing w:after="40" w:before="40"/>
      </w:pPr>
      <w:r>
        <w:rPr>
          <w:rFonts w:ascii="Consolas" w:cs="Consolas" w:eastAsia="Consolas" w:hAnsi="Consolas"/>
          <w:color w:val="1F4E79"/>
          <w:sz w:val="14"/>
          <w:szCs w:val="14"/>
        </w:rPr>
        <w:t xml:space="preserve">↑ ABOVE: shared — appears in 38 of 39 briefs  ·  id: related-briefs.li.00932dd4</w:t>
      </w:r>
    </w:p>
    <w:p>
      <w:pPr>
        <w:spacing w:after="20" w:before="60"/>
        <w:ind w:left="360"/>
      </w:pPr>
      <w:r>
        <w:rPr>
          <w:sz w:val="21"/>
          <w:szCs w:val="21"/>
        </w:rPr>
        <w:t xml:space="preserve">— Relax Delta salinity standards</w:t>
      </w:r>
    </w:p>
    <w:p>
      <w:pPr>
        <w:spacing w:after="40" w:before="40"/>
      </w:pPr>
      <w:r>
        <w:rPr>
          <w:rFonts w:ascii="Consolas" w:cs="Consolas" w:eastAsia="Consolas" w:hAnsi="Consolas"/>
          <w:color w:val="1F4E79"/>
          <w:sz w:val="14"/>
          <w:szCs w:val="14"/>
        </w:rPr>
        <w:t xml:space="preserve">↑ ABOVE: shared — appears in 38 of 39 briefs  ·  id: related-briefs.li.f23a7ac2</w:t>
      </w:r>
    </w:p>
    <w:p>
      <w:pPr>
        <w:spacing w:after="20" w:before="60"/>
        <w:ind w:left="360"/>
      </w:pPr>
      <w:r>
        <w:rPr>
          <w:sz w:val="21"/>
          <w:szCs w:val="21"/>
        </w:rPr>
        <w:t xml:space="preserve">— Salmon-friendly flows</w:t>
      </w:r>
    </w:p>
    <w:p>
      <w:pPr>
        <w:spacing w:after="40" w:before="40"/>
      </w:pPr>
      <w:r>
        <w:rPr>
          <w:rFonts w:ascii="Consolas" w:cs="Consolas" w:eastAsia="Consolas" w:hAnsi="Consolas"/>
          <w:color w:val="1F4E79"/>
          <w:sz w:val="14"/>
          <w:szCs w:val="14"/>
        </w:rPr>
        <w:t xml:space="preserve">↑ ABOVE: shared — appears in 38 of 39 briefs  ·  id: related-briefs.li.ca991ba1</w:t>
      </w:r>
    </w:p>
    <w:p>
      <w:pPr>
        <w:spacing w:after="20" w:before="60"/>
        <w:ind w:left="360"/>
      </w:pPr>
      <w:r>
        <w:rPr>
          <w:sz w:val="21"/>
          <w:szCs w:val="21"/>
        </w:rPr>
        <w:t xml:space="preserve">— Salmon-friendly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related-briefs.li.9db19ab3</w:t>
      </w:r>
    </w:p>
    <w:p>
      <w:pPr>
        <w:spacing w:after="20" w:before="60"/>
        <w:ind w:left="360"/>
      </w:pPr>
      <w:r>
        <w:rPr>
          <w:sz w:val="21"/>
          <w:szCs w:val="21"/>
        </w:rPr>
        <w:t xml:space="preserve">— The water system under current operations</w:t>
      </w:r>
    </w:p>
    <w:p>
      <w:pPr>
        <w:spacing w:after="40" w:before="40"/>
      </w:pPr>
      <w:r>
        <w:rPr>
          <w:rFonts w:ascii="Consolas" w:cs="Consolas" w:eastAsia="Consolas" w:hAnsi="Consolas"/>
          <w:color w:val="1F4E79"/>
          <w:sz w:val="14"/>
          <w:szCs w:val="14"/>
        </w:rPr>
        <w:t xml:space="preserve">↑ ABOVE: shared — appears in 38 of 39 briefs  ·  id: related-briefs.li.d39da71b</w:t>
      </w:r>
    </w:p>
    <w:p>
      <w:pPr>
        <w:spacing w:after="20" w:before="100"/>
      </w:pPr>
      <w:r>
        <w:rPr>
          <w:sz w:val="21"/>
          <w:szCs w:val="21"/>
        </w:rPr>
        <w:t xml:space="preserve">How were the five hydroclimates constructed? The hydroclimates reference brief defines them. It reports no results of its own; every brief above is read against the same five.</w:t>
      </w:r>
    </w:p>
    <w:p>
      <w:pPr>
        <w:spacing w:after="40" w:before="40"/>
      </w:pPr>
      <w:r>
        <w:rPr>
          <w:rFonts w:ascii="Consolas" w:cs="Consolas" w:eastAsia="Consolas" w:hAnsi="Consolas"/>
          <w:color w:val="A33A3A"/>
          <w:sz w:val="14"/>
          <w:szCs w:val="14"/>
        </w:rPr>
        <w:t xml:space="preserve">↑ ABOVE: shared — appears in all 39 briefs  ·  id: related-briefs.p.b5e9f881</w:t>
      </w:r>
    </w:p>
    <w:p>
      <w:pPr>
        <w:pStyle w:val="Heading2"/>
        <w:spacing w:after="60" w:before="280"/>
      </w:pPr>
      <w:r>
        <w:rPr>
          <w:sz w:val="26"/>
          <w:szCs w:val="26"/>
        </w:rPr>
        <w:t xml:space="preserve">What this doesn’t say</w:t>
      </w:r>
    </w:p>
    <w:p>
      <w:pPr>
        <w:spacing w:after="40"/>
      </w:pPr>
      <w:r>
        <w:rPr>
          <w:rFonts w:ascii="Consolas" w:cs="Consolas" w:eastAsia="Consolas" w:hAnsi="Consolas"/>
          <w:color w:val="767171"/>
          <w:sz w:val="14"/>
          <w:szCs w:val="14"/>
        </w:rPr>
        <w:t xml:space="preserve">section id: what-this-doesnt-say</w:t>
      </w:r>
    </w:p>
    <w:p>
      <w:pPr>
        <w:spacing w:after="40" w:before="20"/>
      </w:pPr>
      <w:r>
        <w:rPr>
          <w:rFonts w:ascii="Consolas" w:cs="Consolas" w:eastAsia="Consolas" w:hAnsi="Consolas"/>
          <w:color w:val="767171"/>
          <w:sz w:val="14"/>
          <w:szCs w:val="14"/>
        </w:rPr>
        <w:t xml:space="preserve">↑ ABOVE: heading  ·  id: what-this-doesnt-say.h2.124ace06</w:t>
      </w:r>
    </w:p>
    <w:p>
      <w:pPr>
        <w:spacing w:after="20" w:before="100"/>
      </w:pPr>
      <w:r>
        <w:rPr>
          <w:sz w:val="21"/>
          <w:szCs w:val="21"/>
        </w:rPr>
        <w:t xml:space="preserve">This brief reports modeled results from a specific ensemble. It does not predict what will happen, evaluate whether those results are acceptable, or recommend any course of action. The tier framework provides definitional categories; the meaning of those categories for any individual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what-this-doesnt-say.p.249fc569</w:t>
      </w:r>
    </w:p>
    <w:p>
      <w:pPr>
        <w:spacing w:after="20" w:before="100"/>
      </w:pPr>
      <w:r>
        <w:rPr>
          <w:sz w:val="21"/>
          <w:szCs w:val="21"/>
        </w:rPr>
        <w:t xml:space="preserve">In particular, for this brief: the five hydroclimates are a sample of stress levels, carry no probabilities, and are not a timeline, so no average over them is reported here. Splitting a difference into two effects is arithmetic on modeled values, not a causal claim about the water system, and the two are separable only because each is defined against its own reference. A step or a spread on the tier axis is a modeled magnitude, not a benefit or a cost. A sector’s value is the unweighted mean of its locations, so locations count equally regardless of the people, acres, or acre-feet each represents, and a location already at either end of the scale cannot move further along it. Locations are modeled nodes, not measured conditions at a place.</w:t>
      </w:r>
    </w:p>
    <w:p>
      <w:pPr>
        <w:spacing w:after="40" w:before="40"/>
      </w:pPr>
      <w:r>
        <w:rPr>
          <w:rFonts w:ascii="Consolas" w:cs="Consolas" w:eastAsia="Consolas" w:hAnsi="Consolas"/>
          <w:color w:val="1F4E79"/>
          <w:sz w:val="14"/>
          <w:szCs w:val="14"/>
        </w:rPr>
        <w:t xml:space="preserve">↑ ABOVE: shared — appears in 33 of 39 briefs  ·  id: what-this-doesnt-say.p.d7fcc155</w:t>
      </w:r>
    </w:p>
    <w:p>
      <w:pPr>
        <w:spacing w:after="20" w:before="100"/>
      </w:pPr>
      <w:r>
        <w:rPr>
          <w:sz w:val="21"/>
          <w:szCs w:val="21"/>
        </w:rPr>
        <w:t xml:space="preserve">Extreme climate stress holds the single highest of a strategy’s five values in all 23 strategies reported here.</w:t>
      </w:r>
    </w:p>
    <w:p>
      <w:pPr>
        <w:spacing w:after="40" w:before="40"/>
      </w:pPr>
      <w:r>
        <w:rPr>
          <w:rFonts w:ascii="Consolas" w:cs="Consolas" w:eastAsia="Consolas" w:hAnsi="Consolas"/>
          <w:color w:val="1F4E79"/>
          <w:sz w:val="14"/>
          <w:szCs w:val="14"/>
        </w:rPr>
        <w:t xml:space="preserve">↑ ABOVE: shared — appears in 9 of 39 briefs  ·  id: what-this-doesnt-say.p.99477a9c</w:t>
      </w:r>
    </w:p>
    <w:p>
      <w:pPr>
        <w:pStyle w:val="Heading2"/>
        <w:spacing w:after="60" w:before="280"/>
      </w:pPr>
      <w:r>
        <w:rPr>
          <w:sz w:val="26"/>
          <w:szCs w:val="26"/>
        </w:rPr>
        <w:t xml:space="preserve">References, run identifiers and the build stamp</w:t>
      </w:r>
    </w:p>
    <w:p>
      <w:pPr>
        <w:spacing w:after="40"/>
      </w:pPr>
      <w:r>
        <w:rPr>
          <w:rFonts w:ascii="Consolas" w:cs="Consolas" w:eastAsia="Consolas" w:hAnsi="Consolas"/>
          <w:color w:val="767171"/>
          <w:sz w:val="14"/>
          <w:szCs w:val="14"/>
        </w:rPr>
        <w:t xml:space="preserve">section id: references</w:t>
      </w:r>
    </w:p>
    <w:p>
      <w:pPr>
        <w:spacing w:after="40" w:before="20"/>
      </w:pPr>
      <w:r>
        <w:rPr>
          <w:rFonts w:ascii="Consolas" w:cs="Consolas" w:eastAsia="Consolas" w:hAnsi="Consolas"/>
          <w:color w:val="767171"/>
          <w:sz w:val="14"/>
          <w:szCs w:val="14"/>
        </w:rPr>
        <w:t xml:space="preserve">↑ ABOVE: heading  ·  id: references.h2.4c72c2fc</w:t>
      </w:r>
    </w:p>
    <w:p>
      <w:pPr>
        <w:spacing w:after="20" w:before="100"/>
      </w:pPr>
      <w:r>
        <w:rPr>
          <w:sz w:val="21"/>
          <w:szCs w:val="21"/>
        </w:rPr>
        <w:t xml:space="preserve">Model runs (current operations): Historical s0020; Moderate s0134; Moderate-high s0047; High s0056; Extreme s0108. Each row reads its own five runs beside these; they are in the companion data file at #/rows/*/by_hydroclimate/*/run_ids. The baseline is current operations under the historical hydroclimate, s0020.</w:t>
      </w:r>
    </w:p>
    <w:p>
      <w:pPr>
        <w:spacing w:after="40" w:before="40"/>
      </w:pPr>
      <w:r>
        <w:rPr>
          <w:rFonts w:ascii="Consolas" w:cs="Consolas" w:eastAsia="Consolas" w:hAnsi="Consolas"/>
          <w:color w:val="1F4E79"/>
          <w:sz w:val="14"/>
          <w:szCs w:val="14"/>
        </w:rPr>
        <w:t xml:space="preserve">↑ ABOVE: shared — appears in 15 of 39 briefs  ·  id: references.p.f147d6cb</w:t>
      </w:r>
    </w:p>
    <w:p>
      <w:pPr>
        <w:spacing w:after="20" w:before="100"/>
      </w:pPr>
      <w:r>
        <w:rPr>
          <w:sz w:val="21"/>
          <w:szCs w:val="21"/>
        </w:rPr>
        <w:t xml:space="preserve">Build stamp. Snapshot 2026-08-01; builder version 0.1.0; built 2026-08-09T21:32:18Z; snapshot data read 2026-08-01; verification: pass. The verification status is written by the independent check (briefbuilder.verifier), which recomputes every value in the companion data file from the per-location data and reads every arrow on this page, after both files are written. It is not stamped by whatever produced them.</w:t>
      </w:r>
    </w:p>
    <w:p>
      <w:pPr>
        <w:spacing w:after="40" w:before="40"/>
      </w:pPr>
      <w:r>
        <w:rPr>
          <w:rFonts w:ascii="Consolas" w:cs="Consolas" w:eastAsia="Consolas" w:hAnsi="Consolas"/>
          <w:color w:val="A33A3A"/>
          <w:sz w:val="14"/>
          <w:szCs w:val="14"/>
        </w:rPr>
        <w:t xml:space="preserve">↑ ABOVE: shared — appears in all 39 briefs  ·  id: references.p.c72d238c</w:t>
      </w:r>
    </w:p>
    <w:p>
      <w:pPr>
        <w:spacing w:after="20" w:before="100"/>
      </w:pPr>
      <w:r>
        <w:rPr>
          <w:sz w:val="21"/>
          <w:szCs w:val="21"/>
        </w:rPr>
        <w:t xml:space="preserve">Companion data file: sector_bay-delta-estuary-ecology_schema1.json,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references.p.953e9bd0</w:t>
      </w:r>
    </w:p>
    <w:p>
      <w:pPr>
        <w:pStyle w:val="Heading2"/>
        <w:spacing w:after="60" w:before="280"/>
      </w:pPr>
      <w:r>
        <w:rPr>
          <w:sz w:val="26"/>
          <w:szCs w:val="26"/>
        </w:rPr>
        <w:t xml:space="preserve">How to read the values</w:t>
      </w:r>
    </w:p>
    <w:p>
      <w:pPr>
        <w:spacing w:after="40"/>
      </w:pPr>
      <w:r>
        <w:rPr>
          <w:rFonts w:ascii="Consolas" w:cs="Consolas" w:eastAsia="Consolas" w:hAnsi="Consolas"/>
          <w:color w:val="767171"/>
          <w:sz w:val="14"/>
          <w:szCs w:val="14"/>
        </w:rPr>
        <w:t xml:space="preserve">section id: how-to-read</w:t>
      </w:r>
    </w:p>
    <w:p>
      <w:pPr>
        <w:spacing w:after="40" w:before="20"/>
      </w:pPr>
      <w:r>
        <w:rPr>
          <w:rFonts w:ascii="Consolas" w:cs="Consolas" w:eastAsia="Consolas" w:hAnsi="Consolas"/>
          <w:color w:val="767171"/>
          <w:sz w:val="14"/>
          <w:szCs w:val="14"/>
        </w:rPr>
        <w:t xml:space="preserve">↑ ABOVE: heading  ·  id: how-to-read.h2.ed0bd067</w:t>
      </w:r>
    </w:p>
    <w:p>
      <w:pPr>
        <w:spacing w:after="20" w:before="100"/>
      </w:pPr>
      <w:r>
        <w:rPr>
          <w:sz w:val="21"/>
          <w:szCs w:val="21"/>
        </w:rPr>
        <w:t xml:space="preserve">The tier scale runs from 1 to 4.99. Tier 1 is the favourable end of the scale: the tier framework names Tier 1 Optimal and Tier 4 Critical, so a smaller value sits nearer Optimal and a larger value nearer Critical. The API serves this number in a field named weighted_score; that name describes how the number is computed, and does not mean that a larger number is a more favourable result.</w:t>
      </w:r>
    </w:p>
    <w:p>
      <w:pPr>
        <w:spacing w:after="40" w:before="40"/>
      </w:pPr>
      <w:r>
        <w:rPr>
          <w:rFonts w:ascii="Consolas" w:cs="Consolas" w:eastAsia="Consolas" w:hAnsi="Consolas"/>
          <w:color w:val="A33A3A"/>
          <w:sz w:val="14"/>
          <w:szCs w:val="14"/>
        </w:rPr>
        <w:t xml:space="preserve">↑ ABOVE: shared — appears in all 39 briefs  ·  id: how-to-read.p.6b2ad8ec</w:t>
      </w:r>
    </w:p>
    <w:p>
      <w:pPr>
        <w:spacing w:after="20" w:before="100"/>
      </w:pPr>
      <w:r>
        <w:rPr>
          <w:sz w:val="21"/>
          <w:szCs w:val="21"/>
        </w:rPr>
        <w:t xml:space="preserve">Two numbers describe each result. The integer tier_level is the tier label. tier_continuous is the position within the band of that label, and always falls inside it: tier_continuous is at least tier_level and less than tier_level plus one. Labels, counts and prose use tier_level; figure positions and statistics use tier_continuous.</w:t>
      </w:r>
    </w:p>
    <w:p>
      <w:pPr>
        <w:spacing w:after="40" w:before="40"/>
      </w:pPr>
      <w:r>
        <w:rPr>
          <w:rFonts w:ascii="Consolas" w:cs="Consolas" w:eastAsia="Consolas" w:hAnsi="Consolas"/>
          <w:color w:val="A33A3A"/>
          <w:sz w:val="14"/>
          <w:szCs w:val="14"/>
        </w:rPr>
        <w:t xml:space="preserve">↑ ABOVE: shared — appears in all 39 briefs  ·  id: how-to-read.p.9d2ae7b4</w:t>
      </w:r>
    </w:p>
    <w:p>
      <w:pPr>
        <w:spacing w:after="20" w:before="100"/>
      </w:pPr>
      <w:r>
        <w:rPr>
          <w:sz w:val="21"/>
          <w:szCs w:val="21"/>
        </w:rPr>
        <w:t xml:space="preserve">Tier 1 is Optimal, Tier 2 is Acceptable, Tier 3 is At-risk, and Tier 4 is Critical. These are definitional category names supplied by the tier framework; what a category means for any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how-to-read.p.012f30b9</w:t>
      </w:r>
    </w:p>
    <w:p>
      <w:pPr>
        <w:spacing w:after="20" w:before="100"/>
      </w:pPr>
      <w:r>
        <w:rPr>
          <w:sz w:val="21"/>
          <w:szCs w:val="21"/>
        </w:rPr>
        <w:t xml:space="preserve">A sector value is the unweighted mean over the locations in that sector. Every location counts equally, regardless of the people, acres, or acre-feet it represents.</w:t>
      </w:r>
    </w:p>
    <w:p>
      <w:pPr>
        <w:spacing w:after="40" w:before="40"/>
      </w:pPr>
      <w:r>
        <w:rPr>
          <w:rFonts w:ascii="Consolas" w:cs="Consolas" w:eastAsia="Consolas" w:hAnsi="Consolas"/>
          <w:color w:val="A33A3A"/>
          <w:sz w:val="14"/>
          <w:szCs w:val="14"/>
        </w:rPr>
        <w:t xml:space="preserve">↑ ABOVE: shared — appears in all 39 briefs  ·  id: how-to-read.p.594f2995</w:t>
      </w:r>
    </w:p>
    <w:p>
      <w:pPr>
        <w:spacing w:after="20" w:before="100"/>
      </w:pPr>
      <w:r>
        <w:rPr>
          <w:sz w:val="21"/>
          <w:szCs w:val="21"/>
        </w:rPr>
        <w:t xml:space="preserve">Any difference between two values under different hydroclimates contains both a hydroclimate effect and an operations effect; the two are separable only through the decomposition, because each is defined against its own reference. A strategy is compared with current operations under the same hydroclimate. Comparing one strategy with itself across hydroclimates is a different quantity: the hydroclimate effect plus the change in the operations effect.</w:t>
      </w:r>
    </w:p>
    <w:p>
      <w:pPr>
        <w:spacing w:after="40" w:before="40"/>
      </w:pPr>
      <w:r>
        <w:rPr>
          <w:rFonts w:ascii="Consolas" w:cs="Consolas" w:eastAsia="Consolas" w:hAnsi="Consolas"/>
          <w:color w:val="A33A3A"/>
          <w:sz w:val="14"/>
          <w:szCs w:val="14"/>
        </w:rPr>
        <w:t xml:space="preserve">↑ ABOVE: shared — appears in all 39 briefs  ·  id: how-to-read.p.aa51047b</w:t>
      </w:r>
    </w:p>
    <w:p>
      <w:pPr>
        <w:spacing w:after="20" w:before="100"/>
      </w:pPr>
      <w:r>
        <w:rPr>
          <w:sz w:val="21"/>
          <w:szCs w:val="21"/>
        </w:rPr>
        <w:t xml:space="preserve">One threshold governs every claim and every count here. A difference smaller than 0.1 tier units is not reported as movement, and a location is not counted as differing from its comparison. A tier is a summary built so that results in nine sectors with no shared unit can be compared, and 0.1 tier units is the finest reading it carries; a smaller difference is left unstated rather than described.</w:t>
      </w:r>
    </w:p>
    <w:p>
      <w:pPr>
        <w:spacing w:after="40" w:before="40"/>
      </w:pPr>
      <w:r>
        <w:rPr>
          <w:rFonts w:ascii="Consolas" w:cs="Consolas" w:eastAsia="Consolas" w:hAnsi="Consolas"/>
          <w:color w:val="A33A3A"/>
          <w:sz w:val="14"/>
          <w:szCs w:val="14"/>
        </w:rPr>
        <w:t xml:space="preserve">↑ ABOVE: shared — appears in all 39 briefs  ·  id: how-to-read.p.99ab9088</w:t>
      </w:r>
    </w:p>
    <w:p>
      <w:pPr>
        <w:spacing w:after="20" w:before="100"/>
      </w:pPr>
      <w:r>
        <w:rPr>
          <w:sz w:val="21"/>
          <w:szCs w:val="21"/>
        </w:rPr>
        <w:t xml:space="preserve">The five hydroclimates are a purposive sample of climate stress levels. They are not a sequence, a trend, or a forecast, they carry no probabilities, and no mean is taken over them.</w:t>
      </w:r>
    </w:p>
    <w:p>
      <w:pPr>
        <w:spacing w:after="40" w:before="40"/>
      </w:pPr>
      <w:r>
        <w:rPr>
          <w:rFonts w:ascii="Consolas" w:cs="Consolas" w:eastAsia="Consolas" w:hAnsi="Consolas"/>
          <w:color w:val="A33A3A"/>
          <w:sz w:val="14"/>
          <w:szCs w:val="14"/>
        </w:rPr>
        <w:t xml:space="preserve">↑ ABOVE: shared — appears in all 39 briefs  ·  id: how-to-read.p.dc2c7dcf</w:t>
      </w:r>
    </w:p>
    <w:p>
      <w:pPr>
        <w:spacing w:after="20" w:before="100"/>
      </w:pPr>
      <w:r>
        <w:rPr>
          <w:sz w:val="21"/>
          <w:szCs w:val="21"/>
        </w:rPr>
        <w:t xml:space="preserve">A run ID identifies one modeling run of one strategy under one hydroclimate. It is an internal identifier, used for citation and for tracing a value back to the data platform, not a name for the strategy; the public identity of a strategy is its descriptive name.</w:t>
      </w:r>
    </w:p>
    <w:p>
      <w:pPr>
        <w:spacing w:after="40" w:before="40"/>
      </w:pPr>
      <w:r>
        <w:rPr>
          <w:rFonts w:ascii="Consolas" w:cs="Consolas" w:eastAsia="Consolas" w:hAnsi="Consolas"/>
          <w:color w:val="A33A3A"/>
          <w:sz w:val="14"/>
          <w:szCs w:val="14"/>
        </w:rPr>
        <w:t xml:space="preserve">↑ ABOVE: shared — appears in all 39 briefs  ·  id: how-to-read.p.65917809</w:t>
      </w:r>
    </w:p>
    <w:p>
      <w:pPr>
        <w:spacing w:after="20" w:before="100"/>
      </w:pPr>
      <w:r>
        <w:rPr>
          <w:sz w:val="21"/>
          <w:szCs w:val="21"/>
        </w:rPr>
        <w:t xml:space="preserve">Tier values are reported to one decimal place throughout this brief — in the prose, in the figure and in the table. The tier scale does not carry meaning finer than that. Each effect shown is the difference between the floored values, except that an effect smaller than the 0.1 tier units this brief reports movement at is shown as 0.0, so a row containing one does not add up. Values are floored rather than rounded, so a printed value stays inside the band its own label names; full-precision values are in the machine-readable sidecar this brief is built from.</w:t>
      </w:r>
    </w:p>
    <w:p>
      <w:pPr>
        <w:spacing w:after="40" w:before="40"/>
      </w:pPr>
      <w:r>
        <w:rPr>
          <w:rFonts w:ascii="Consolas" w:cs="Consolas" w:eastAsia="Consolas" w:hAnsi="Consolas"/>
          <w:color w:val="A33A3A"/>
          <w:sz w:val="14"/>
          <w:szCs w:val="14"/>
        </w:rPr>
        <w:t xml:space="preserve">↑ ABOVE: shared — appears in all 39 briefs  ·  id: how-to-read.p.82cecf64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bay-delta-estuary-ecology</dc:title>
  <dc:creator>COEQWAL brief builder</dc:creator>
  <cp:lastModifiedBy>Un-named</cp:lastModifiedBy>
  <cp:revision>1</cp:revision>
  <dcterms:created xsi:type="dcterms:W3CDTF">2026-08-09T23:34:32.074Z</dcterms:created>
  <dcterms:modified xsi:type="dcterms:W3CDTF">2026-08-09T23:34:32.074Z</dcterms:modified>
</cp:coreProperties>
</file>

<file path=docProps/custom.xml><?xml version="1.0" encoding="utf-8"?>
<Properties xmlns="http://schemas.openxmlformats.org/officeDocument/2006/custom-properties" xmlns:vt="http://schemas.openxmlformats.org/officeDocument/2006/docPropsVTypes"/>
</file>