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current-operations-with-historical-land-use. Generated from scenario_results_brief_current-operations-with-historical-land-use_prototype_v0_3.html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is the complete document for the strategy results kind. Text shared across briefs is edited HERE and nowhere else — the grey line BELOW each paragraph says how many of the 39 briefs carry that exact text. It describes the paragraph above it. Section headings carry no such line. The other briefs of this kind come as short documents holding only what is unique to them.</w:t>
      </w:r>
    </w:p>
    <w:p>
      <w:pPr>
        <w:spacing w:after="20" w:before="100"/>
      </w:pPr>
      <w:r>
        <w:rPr>
          <w:sz w:val="21"/>
          <w:szCs w:val="21"/>
        </w:rPr>
        <w:t xml:space="preserve">COEQWAL results brief · strategy</w:t>
      </w:r>
    </w:p>
    <w:p>
      <w:pPr>
        <w:spacing w:after="40" w:before="40"/>
      </w:pPr>
      <w:r>
        <w:rPr>
          <w:rFonts w:ascii="Consolas" w:cs="Consolas" w:eastAsia="Consolas" w:hAnsi="Consolas"/>
          <w:color w:val="1F4E79"/>
          <w:sz w:val="14"/>
          <w:szCs w:val="14"/>
        </w:rPr>
        <w:t xml:space="preserve">↑ ABOVE: shared — appears in 23 of 39 briefs  ·  id: front.p.5443c64a</w:t>
      </w:r>
    </w:p>
    <w:p>
      <w:pPr>
        <w:pStyle w:val="Heading1"/>
        <w:spacing w:after="60" w:before="240"/>
      </w:pPr>
      <w:r>
        <w:rPr>
          <w:sz w:val="34"/>
          <w:szCs w:val="34"/>
        </w:rPr>
        <w:t xml:space="preserve">Current operations with historical land use: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front.h1.e4b32847</w:t>
      </w:r>
    </w:p>
    <w:p>
      <w:pPr>
        <w:spacing w:after="20" w:before="100"/>
      </w:pPr>
      <w:r>
        <w:rPr>
          <w:sz w:val="21"/>
          <w:szCs w:val="21"/>
        </w:rPr>
        <w:t xml:space="preserve">A results brief for a general reader — prototype (v0_3), built by the brief builder from the locked 2026-08-01 API snapshot — reporting modeled tier results for one management strategy read across the five hydroclimates, each difference from the baseline split into the two effects that produce it. The build stamp, the run identifiers and the verification status are in references.</w:t>
      </w:r>
    </w:p>
    <w:p>
      <w:pPr>
        <w:spacing w:after="40" w:before="40"/>
      </w:pPr>
      <w:r>
        <w:rPr>
          <w:rFonts w:ascii="Consolas" w:cs="Consolas" w:eastAsia="Consolas" w:hAnsi="Consolas"/>
          <w:color w:val="1F4E79"/>
          <w:sz w:val="14"/>
          <w:szCs w:val="14"/>
        </w:rPr>
        <w:t xml:space="preserve">↑ ABOVE: shared — appears in 23 of 39 briefs  ·  id: front.p.14bc94b0</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33, and the operations effect in 12. The strategy’s value differs from current operations at 160 of the 279 locations reported here under the historical hydroclimate and at 135 under extreme climate stress, and across the five hydroclimates the count ranges from 135 to 163; where it does not differ, the difference from the baseline is the hydroclimate alone. Reservoir storage is the clearest case of the two effects running opposite ways: under moderate-high climate stress the hydroclimate contributes −0.1 and the strategy +0.1, leaving no net difference from the baseline.</w:t>
      </w:r>
    </w:p>
    <w:p>
      <w:pPr>
        <w:spacing w:after="40" w:before="40"/>
      </w:pPr>
      <w:r>
        <w:rPr>
          <w:rFonts w:ascii="Consolas" w:cs="Consolas" w:eastAsia="Consolas" w:hAnsi="Consolas"/>
          <w:color w:val="767171"/>
          <w:sz w:val="14"/>
          <w:szCs w:val="14"/>
        </w:rPr>
        <w:t xml:space="preserve">↑ ABOVE: this brief only  ·  id: front.p.e553e000</w:t>
      </w:r>
    </w:p>
    <w:p>
      <w:pPr>
        <w:pStyle w:val="Heading2"/>
        <w:spacing w:after="60" w:before="280"/>
      </w:pPr>
      <w:r>
        <w:rPr>
          <w:sz w:val="26"/>
          <w:szCs w:val="26"/>
        </w:rPr>
        <w:t xml:space="preserve">What this is</w:t>
      </w:r>
    </w:p>
    <w:p>
      <w:pPr>
        <w:spacing w:after="40"/>
      </w:pPr>
      <w:r>
        <w:rPr>
          <w:rFonts w:ascii="Consolas" w:cs="Consolas" w:eastAsia="Consolas" w:hAnsi="Consolas"/>
          <w:color w:val="767171"/>
          <w:sz w:val="14"/>
          <w:szCs w:val="14"/>
        </w:rPr>
        <w:t xml:space="preserve">section id: what-this-is</w:t>
      </w:r>
    </w:p>
    <w:p>
      <w:pPr>
        <w:spacing w:after="40" w:before="20"/>
      </w:pPr>
      <w:r>
        <w:rPr>
          <w:rFonts w:ascii="Consolas" w:cs="Consolas" w:eastAsia="Consolas" w:hAnsi="Consolas"/>
          <w:color w:val="767171"/>
          <w:sz w:val="14"/>
          <w:szCs w:val="14"/>
        </w:rPr>
        <w:t xml:space="preserve">↑ ABOVE: heading  ·  id: what-this-is.h2.ca413b84</w:t>
      </w:r>
    </w:p>
    <w:p>
      <w:pPr>
        <w:spacing w:after="20" w:before="100"/>
      </w:pPr>
      <w:r>
        <w:rPr>
          <w:sz w:val="21"/>
          <w:szCs w:val="21"/>
        </w:rPr>
        <w:t xml:space="preserve">This is a results brief: it reports the modeled tier results, and nothing else, for the current operations with historical land use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what-this-is.p.645f9454</w:t>
      </w:r>
    </w:p>
    <w:p>
      <w:pPr>
        <w:spacing w:after="20" w:before="100"/>
      </w:pPr>
      <w:r>
        <w:rPr>
          <w:sz w:val="21"/>
          <w:szCs w:val="21"/>
        </w:rPr>
        <w:t xml:space="preserve">Against current operations, this strategy differs in one of the eight operational settings the scenario library records: Land use — 2004-2013 average. For the full configuration, see the current operations with historical land use strategy brief.</w:t>
      </w:r>
    </w:p>
    <w:p>
      <w:pPr>
        <w:spacing w:after="40" w:before="40"/>
      </w:pPr>
      <w:r>
        <w:rPr>
          <w:rFonts w:ascii="Consolas" w:cs="Consolas" w:eastAsia="Consolas" w:hAnsi="Consolas"/>
          <w:color w:val="767171"/>
          <w:sz w:val="14"/>
          <w:szCs w:val="14"/>
        </w:rPr>
        <w:t xml:space="preserve">↑ ABOVE: this brief only  ·  id: what-this-is.p.bcaea37b</w:t>
      </w:r>
    </w:p>
    <w:p>
      <w:pPr>
        <w:pStyle w:val="Heading2"/>
        <w:spacing w:after="60" w:before="280"/>
      </w:pPr>
      <w:r>
        <w:rPr>
          <w:sz w:val="26"/>
          <w:szCs w:val="26"/>
        </w:rPr>
        <w:t xml:space="preserve">What the model shows</w:t>
      </w:r>
    </w:p>
    <w:p>
      <w:pPr>
        <w:spacing w:after="40"/>
      </w:pPr>
      <w:r>
        <w:rPr>
          <w:rFonts w:ascii="Consolas" w:cs="Consolas" w:eastAsia="Consolas" w:hAnsi="Consolas"/>
          <w:color w:val="767171"/>
          <w:sz w:val="14"/>
          <w:szCs w:val="14"/>
        </w:rPr>
        <w:t xml:space="preserve">section id: what-the-model-shows</w:t>
      </w:r>
    </w:p>
    <w:p>
      <w:pPr>
        <w:spacing w:after="40" w:before="20"/>
      </w:pPr>
      <w:r>
        <w:rPr>
          <w:rFonts w:ascii="Consolas" w:cs="Consolas" w:eastAsia="Consolas" w:hAnsi="Consolas"/>
          <w:color w:val="767171"/>
          <w:sz w:val="14"/>
          <w:szCs w:val="14"/>
        </w:rPr>
        <w:t xml:space="preserve">↑ ABOVE: heading  ·  id: what-the-model-shows.h2.29dc7940</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4.9. Of the 45 results — one sector under one hydroclimate — 27 sit in a different tier band from that sector’s baseline value and 18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what-the-model-shows.p.2a5665e4</w:t>
      </w:r>
    </w:p>
    <w:p>
      <w:pPr>
        <w:spacing w:after="20" w:before="100"/>
      </w:pPr>
      <w:r>
        <w:rPr>
          <w:sz w:val="21"/>
          <w:szCs w:val="21"/>
        </w:rPr>
        <w:t xml:space="preserve">The figure below draws every one of those results beside the baseline, with the two effects that produce the difference shown as separate marks, so a reader can see how much of each difference the hydroclimate carries and how much the strategy does. The section that follows says what the two effects are before the figure draws them; what the tier values themselves mean is set out in how to read the values.</w:t>
      </w:r>
    </w:p>
    <w:p>
      <w:pPr>
        <w:spacing w:after="40" w:before="40"/>
      </w:pPr>
      <w:r>
        <w:rPr>
          <w:rFonts w:ascii="Consolas" w:cs="Consolas" w:eastAsia="Consolas" w:hAnsi="Consolas"/>
          <w:color w:val="A33A3A"/>
          <w:sz w:val="14"/>
          <w:szCs w:val="14"/>
        </w:rPr>
        <w:t xml:space="preserve">↑ ABOVE: shared — appears in all 39 briefs  ·  id: what-the-model-shows.p.7840d217</w:t>
      </w:r>
    </w:p>
    <w:p>
      <w:pPr>
        <w:pStyle w:val="Heading2"/>
        <w:spacing w:after="60" w:before="280"/>
      </w:pPr>
      <w:r>
        <w:rPr>
          <w:sz w:val="26"/>
          <w:szCs w:val="26"/>
        </w:rPr>
        <w:t xml:space="preserve">The baseline, and the two effects</w:t>
      </w:r>
    </w:p>
    <w:p>
      <w:pPr>
        <w:spacing w:after="40"/>
      </w:pPr>
      <w:r>
        <w:rPr>
          <w:rFonts w:ascii="Consolas" w:cs="Consolas" w:eastAsia="Consolas" w:hAnsi="Consolas"/>
          <w:color w:val="767171"/>
          <w:sz w:val="14"/>
          <w:szCs w:val="14"/>
        </w:rPr>
        <w:t xml:space="preserve">section id: decomposition</w:t>
      </w:r>
    </w:p>
    <w:p>
      <w:pPr>
        <w:spacing w:after="40" w:before="20"/>
      </w:pPr>
      <w:r>
        <w:rPr>
          <w:rFonts w:ascii="Consolas" w:cs="Consolas" w:eastAsia="Consolas" w:hAnsi="Consolas"/>
          <w:color w:val="767171"/>
          <w:sz w:val="14"/>
          <w:szCs w:val="14"/>
        </w:rPr>
        <w:t xml:space="preserve">↑ ABOVE: heading  ·  id: decomposition.h2.6b2a870f</w:t>
      </w:r>
    </w:p>
    <w:p>
      <w:pPr>
        <w:spacing w:after="20" w:before="100"/>
      </w:pPr>
      <w:r>
        <w:rPr>
          <w:sz w:val="21"/>
          <w:szCs w:val="21"/>
        </w:rPr>
        <w:t xml:space="preserve">The baseline is current operations under the historical hydroclimate. It is the one reference this brief asks a reader to learn, and it is the same value in every column, because it does not depend on which hydroclimate a scenario pairs with.</w:t>
      </w:r>
    </w:p>
    <w:p>
      <w:pPr>
        <w:spacing w:after="40" w:before="40"/>
      </w:pPr>
      <w:r>
        <w:rPr>
          <w:rFonts w:ascii="Consolas" w:cs="Consolas" w:eastAsia="Consolas" w:hAnsi="Consolas"/>
          <w:color w:val="A33A3A"/>
          <w:sz w:val="14"/>
          <w:szCs w:val="14"/>
        </w:rPr>
        <w:t xml:space="preserve">↑ ABOVE: shared — appears in all 39 briefs  ·  id: decomposition.p.793db02f</w:t>
      </w:r>
    </w:p>
    <w:p>
      <w:pPr>
        <w:spacing w:after="20" w:before="100"/>
      </w:pPr>
      <w:r>
        <w:rPr>
          <w:sz w:val="21"/>
          <w:szCs w:val="21"/>
        </w:rPr>
        <w:t xml:space="preserve">Any difference between a scenario and the baseline comes from two places, and they add exactly:</w:t>
      </w:r>
    </w:p>
    <w:p>
      <w:pPr>
        <w:spacing w:after="40" w:before="40"/>
      </w:pPr>
      <w:r>
        <w:rPr>
          <w:rFonts w:ascii="Consolas" w:cs="Consolas" w:eastAsia="Consolas" w:hAnsi="Consolas"/>
          <w:color w:val="A33A3A"/>
          <w:sz w:val="14"/>
          <w:szCs w:val="14"/>
        </w:rPr>
        <w:t xml:space="preserve">↑ ABOVE: shared — appears in all 39 briefs  ·  id: decomposition.p.fbfe7440</w:t>
      </w:r>
    </w:p>
    <w:p>
      <w:pPr>
        <w:spacing w:after="20" w:before="100"/>
      </w:pPr>
      <w:r>
        <w:rPr>
          <w:sz w:val="21"/>
          <w:szCs w:val="21"/>
        </w:rPr>
        <w:t xml:space="preserve">The hydroclimate effect is current operations under that hydroclimate minus the baseline — the same operations, a different hydroclimate. The operations effect is this strategy minus current operations under that same hydroclimate — the only comparison that holds the hydroclimate fixed, and therefore the only one that isolates what the strategy does. Together they equal the difference from the baseline.</w:t>
      </w:r>
    </w:p>
    <w:p>
      <w:pPr>
        <w:spacing w:after="40" w:before="40"/>
      </w:pPr>
      <w:r>
        <w:rPr>
          <w:rFonts w:ascii="Consolas" w:cs="Consolas" w:eastAsia="Consolas" w:hAnsi="Consolas"/>
          <w:color w:val="1F4E79"/>
          <w:sz w:val="14"/>
          <w:szCs w:val="14"/>
        </w:rPr>
        <w:t xml:space="preserve">↑ ABOVE: shared — appears in 23 of 39 briefs  ·  id: decomposition.p.75ccd3a6</w:t>
      </w:r>
    </w:p>
    <w:p>
      <w:pPr>
        <w:spacing w:after="20" w:before="100"/>
      </w:pPr>
      <w:r>
        <w:rPr>
          <w:sz w:val="21"/>
          <w:szCs w:val="21"/>
        </w:rPr>
        <w:t xml:space="preserve">Tier results are reported as a value on a continuous axis from Tier 1 to Tier 4.99, with the four tier bands as shaded zones; the whole number below any value is its band. A value that lands exactly on a whole number takes that band: 4.0 is Tier 4, at the start of its zone rather than the top of Tier 3. The tier scale is ordered by definition, Tier 1 through Tier 4; a band is a category and a position on the axis is a modeled magnitude, neither is a judgment. The scale, the two thresholds and the two fields a tier value comes in are set out in how to read the values.</w:t>
      </w:r>
    </w:p>
    <w:p>
      <w:pPr>
        <w:spacing w:after="40" w:before="40"/>
      </w:pPr>
      <w:r>
        <w:rPr>
          <w:rFonts w:ascii="Consolas" w:cs="Consolas" w:eastAsia="Consolas" w:hAnsi="Consolas"/>
          <w:color w:val="A33A3A"/>
          <w:sz w:val="14"/>
          <w:szCs w:val="14"/>
        </w:rPr>
        <w:t xml:space="preserve">↑ ABOVE: shared — appears in all 39 briefs  ·  id: decomposition.p.248727f7</w:t>
      </w:r>
    </w:p>
    <w:p>
      <w:pPr>
        <w:spacing w:after="20" w:before="100"/>
      </w:pPr>
      <w:r>
        <w:rPr>
          <w:sz w:val="21"/>
          <w:szCs w:val="21"/>
        </w:rPr>
        <w:t xml:space="preserve">A sector’s tier value is the mean of the tier values at its locations. The nine sectors differ in how many locations that is. Bay-Delta estuary ecology is reported at one location, Delta-Eastside Water. Winter-run Chinook salmon is reported at one location, Sacramento River at Keswick. Freshwater for Delta exports is reported at two locations, Harvey O. Banks Pumping Plant and C.W. "Bill" Jones Pumping Plant (formerly Tracy). Both carry the same tier value in every scenario in this ensemble. Freshwater for in-Delta uses is reported at two locations, Emmaton and Jersey Point. Both carry the same tier value in every scenario in this ensemble. The remaining five sectors are reported across 8 to 132 locations. On the figure, a square mark identifies the sectors reported at one or two locations.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1F4E79"/>
          <w:sz w:val="14"/>
          <w:szCs w:val="14"/>
        </w:rPr>
        <w:t xml:space="preserve">↑ ABOVE: shared — appears in 23 of 39 briefs  ·  id: decomposition.p.91d34972</w:t>
      </w:r>
    </w:p>
    <w:p>
      <w:pPr>
        <w:pStyle w:val="Heading2"/>
        <w:spacing w:after="60" w:before="280"/>
      </w:pPr>
      <w:r>
        <w:rPr>
          <w:sz w:val="26"/>
          <w:szCs w:val="26"/>
        </w:rPr>
        <w:t xml:space="preserve">All nine sectors,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figure.h2.19ec0d5d</w:t>
      </w:r>
    </w:p>
    <w:p>
      <w:pPr>
        <w:shd w:fill="F2F1EE" w:val="clear"/>
        <w:spacing w:after="80" w:before="80"/>
      </w:pPr>
      <w:r>
        <w:rPr>
          <w:i/>
          <w:iCs/>
          <w:color w:val="333333"/>
          <w:sz w:val="16"/>
          <w:szCs w:val="16"/>
        </w:rPr>
        <w:t xml:space="preserve">[ The figure is not reproduced here. Review it on the HTML page — this copy is for text. ]</w:t>
      </w:r>
    </w:p>
    <w:p>
      <w:pPr>
        <w:pStyle w:val="Heading2"/>
        <w:spacing w:after="60" w:before="280"/>
      </w:pPr>
      <w:r>
        <w:rPr>
          <w:sz w:val="26"/>
          <w:szCs w:val="26"/>
        </w:rPr>
        <w:t xml:space="preserve">The same 45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table.h2.9b1e8039</w:t>
      </w:r>
    </w:p>
    <w:p>
      <w:pPr>
        <w:shd w:fill="F2F1EE" w:val="clear"/>
        <w:spacing w:after="80" w:before="80"/>
      </w:pPr>
      <w:r>
        <w:rPr>
          <w:i/>
          <w:iCs/>
          <w:color w:val="333333"/>
          <w:sz w:val="16"/>
          <w:szCs w:val="16"/>
        </w:rPr>
        <w:t xml:space="preserve">[ The table is not reproduced here. Its values are model output, verified separately. Review it on the HTML page. ]</w:t>
      </w:r>
    </w:p>
    <w:p>
      <w:pPr>
        <w:spacing w:after="20" w:before="100"/>
      </w:pPr>
      <w:r>
        <w:rPr>
          <w:sz w:val="21"/>
          <w:szCs w:val="21"/>
        </w:rPr>
        <w:t xml:space="preserve">Each cell reads top to bottom: the hydroclimate effect, the operations effect, and the resulting value with its band. The two effects add to the difference between the scenario and the baseline. Shaded cells are those where the two run opposite ways. Each hydroclimate column carries its own address for citation, and its own slice of the companion data file.</w:t>
      </w:r>
    </w:p>
    <w:p>
      <w:pPr>
        <w:spacing w:after="40" w:before="40"/>
      </w:pPr>
      <w:r>
        <w:rPr>
          <w:rFonts w:ascii="Consolas" w:cs="Consolas" w:eastAsia="Consolas" w:hAnsi="Consolas"/>
          <w:color w:val="1F4E79"/>
          <w:sz w:val="14"/>
          <w:szCs w:val="14"/>
        </w:rPr>
        <w:t xml:space="preserve">↑ ABOVE: shared — appears in 37 of 39 briefs  ·  id: table.p.0d50b931</w:t>
      </w:r>
    </w:p>
    <w:p>
      <w:pPr>
        <w:pStyle w:val="Heading2"/>
        <w:spacing w:after="60" w:before="280"/>
      </w:pPr>
      <w:r>
        <w:rPr>
          <w:sz w:val="26"/>
          <w:szCs w:val="26"/>
        </w:rPr>
        <w:t xml:space="preserve">How many places a strategy reaches</w:t>
      </w:r>
    </w:p>
    <w:p>
      <w:pPr>
        <w:spacing w:after="40"/>
      </w:pPr>
      <w:r>
        <w:rPr>
          <w:rFonts w:ascii="Consolas" w:cs="Consolas" w:eastAsia="Consolas" w:hAnsi="Consolas"/>
          <w:color w:val="767171"/>
          <w:sz w:val="14"/>
          <w:szCs w:val="14"/>
        </w:rPr>
        <w:t xml:space="preserve">section id: reach</w:t>
      </w:r>
    </w:p>
    <w:p>
      <w:pPr>
        <w:spacing w:after="40" w:before="20"/>
      </w:pPr>
      <w:r>
        <w:rPr>
          <w:rFonts w:ascii="Consolas" w:cs="Consolas" w:eastAsia="Consolas" w:hAnsi="Consolas"/>
          <w:color w:val="767171"/>
          <w:sz w:val="14"/>
          <w:szCs w:val="14"/>
        </w:rPr>
        <w:t xml:space="preserve">↑ ABOVE: heading  ·  id: reach.h2.1a79b07a</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7–23 of the 74 Community water systems locations, 97–109 of the 132 Agriculture locations, as few as 2 and as many as all 17 Environmental flows locations, 0 of the one Bay-Delta estuary ecology location, 0 of the one Winter-run Chinook salmon location, as few as 0 and as many as all 2 Freshwater for Delta exports locations, 0 of the 2 Freshwater for in-Delta uses locations, 1–4 of the 8 Reservoir storage locations and 17–24 of the 42 Groundwater storage locations, depending on the hydroclimate — 135 to 163 of the 279 locations reported here. A sector where few locations differ therefore shows a small sector-level difference even when the locations that do differ move by a full tier or more. Read across the five hydroclimates together, 765 of the 1,395 location-and-hydroclimate results reported here differ from current operations: 242 toward Tier 1, 523 toward Tier 4. The median difference over the locations counted runs from 0.2 tier units at Freshwater for Delta exports to 0.6 at Environmental flows. The locations that differ do not all differ in the same direction: in 20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reach.p.a1344a0c</w:t>
      </w:r>
    </w:p>
    <w:p>
      <w:pPr>
        <w:pStyle w:val="Heading2"/>
        <w:spacing w:after="60" w:before="280"/>
      </w:pPr>
      <w:r>
        <w:rPr>
          <w:sz w:val="26"/>
          <w:szCs w:val="26"/>
        </w:rPr>
        <w:t xml:space="preserve">Related briefs</w:t>
      </w:r>
    </w:p>
    <w:p>
      <w:pPr>
        <w:spacing w:after="40"/>
      </w:pPr>
      <w:r>
        <w:rPr>
          <w:rFonts w:ascii="Consolas" w:cs="Consolas" w:eastAsia="Consolas" w:hAnsi="Consolas"/>
          <w:color w:val="767171"/>
          <w:sz w:val="14"/>
          <w:szCs w:val="14"/>
        </w:rPr>
        <w:t xml:space="preserve">section id: related-briefs</w:t>
      </w:r>
    </w:p>
    <w:p>
      <w:pPr>
        <w:spacing w:after="40" w:before="20"/>
      </w:pPr>
      <w:r>
        <w:rPr>
          <w:rFonts w:ascii="Consolas" w:cs="Consolas" w:eastAsia="Consolas" w:hAnsi="Consolas"/>
          <w:color w:val="767171"/>
          <w:sz w:val="14"/>
          <w:szCs w:val="14"/>
        </w:rPr>
        <w:t xml:space="preserve">↑ ABOVE: heading  ·  id: related-briefs.h2.aefdcbdc</w:t>
      </w:r>
    </w:p>
    <w:p>
      <w:pPr>
        <w:spacing w:after="20" w:before="100"/>
      </w:pPr>
      <w:r>
        <w:rPr>
          <w:sz w:val="21"/>
          <w:szCs w:val="21"/>
        </w:rPr>
        <w:t xml:space="preserve">What does this strategy do? It is described, rather than measured, by a reference brief that carries no modeled results: Current operations with historical land use strategy brief.</w:t>
      </w:r>
    </w:p>
    <w:p>
      <w:pPr>
        <w:spacing w:after="40" w:before="40"/>
      </w:pPr>
      <w:r>
        <w:rPr>
          <w:rFonts w:ascii="Consolas" w:cs="Consolas" w:eastAsia="Consolas" w:hAnsi="Consolas"/>
          <w:color w:val="767171"/>
          <w:sz w:val="14"/>
          <w:szCs w:val="14"/>
        </w:rPr>
        <w:t xml:space="preserve">↑ ABOVE: this brief only  ·  id: related-briefs.p.7796c12e</w:t>
      </w:r>
    </w:p>
    <w:p>
      <w:pPr>
        <w:spacing w:after="20" w:before="100"/>
      </w:pPr>
      <w:r>
        <w:rPr>
          <w:sz w:val="21"/>
          <w:szCs w:val="21"/>
        </w:rPr>
        <w:t xml:space="preserve">What happens under a different strategy? The same nine sectors and the same five hydroclimates are reported once per strategy, and once with the strategy held fixed:</w:t>
      </w:r>
    </w:p>
    <w:p>
      <w:pPr>
        <w:spacing w:after="40" w:before="40"/>
      </w:pPr>
      <w:r>
        <w:rPr>
          <w:rFonts w:ascii="Consolas" w:cs="Consolas" w:eastAsia="Consolas" w:hAnsi="Consolas"/>
          <w:color w:val="1F4E79"/>
          <w:sz w:val="14"/>
          <w:szCs w:val="14"/>
        </w:rPr>
        <w:t xml:space="preserve">↑ ABOVE: shared — appears in 23 of 39 briefs  ·  id: related-briefs.p.26cd1cc8</w:t>
      </w:r>
    </w:p>
    <w:p>
      <w:pPr>
        <w:spacing w:after="20" w:before="60"/>
        <w:ind w:left="360"/>
      </w:pPr>
      <w:r>
        <w:rPr>
          <w:sz w:val="21"/>
          <w:szCs w:val="21"/>
        </w:rPr>
        <w:t xml:space="preserve">— Current operations</w:t>
      </w:r>
    </w:p>
    <w:p>
      <w:pPr>
        <w:spacing w:after="40" w:before="40"/>
      </w:pPr>
      <w:r>
        <w:rPr>
          <w:rFonts w:ascii="Consolas" w:cs="Consolas" w:eastAsia="Consolas" w:hAnsi="Consolas"/>
          <w:color w:val="1F4E79"/>
          <w:sz w:val="14"/>
          <w:szCs w:val="14"/>
        </w:rPr>
        <w:t xml:space="preserve">↑ ABOVE: shared — appears in 38 of 39 briefs  ·  id: related-briefs.li.1738bd57</w:t>
      </w:r>
    </w:p>
    <w:p>
      <w:pPr>
        <w:spacing w:after="20" w:before="60"/>
        <w:ind w:left="360"/>
      </w:pPr>
      <w:r>
        <w:rPr>
          <w:sz w:val="21"/>
          <w:szCs w:val="21"/>
        </w:rPr>
        <w:t xml:space="preserve">— Current operations with historical land use — you are here</w:t>
      </w:r>
    </w:p>
    <w:p>
      <w:pPr>
        <w:spacing w:after="40" w:before="40"/>
      </w:pPr>
      <w:r>
        <w:rPr>
          <w:rFonts w:ascii="Consolas" w:cs="Consolas" w:eastAsia="Consolas" w:hAnsi="Consolas"/>
          <w:color w:val="767171"/>
          <w:sz w:val="14"/>
          <w:szCs w:val="14"/>
        </w:rPr>
        <w:t xml:space="preserve">↑ ABOVE: this brief only  ·  id: related-briefs.li.7649db44</w:t>
      </w:r>
    </w:p>
    <w:p>
      <w:pPr>
        <w:spacing w:after="20" w:before="60"/>
        <w:ind w:left="360"/>
      </w:pPr>
      <w:r>
        <w:rPr>
          <w:sz w:val="21"/>
          <w:szCs w:val="21"/>
        </w:rPr>
        <w:t xml:space="preserve">— Current operations without TUCPs</w:t>
      </w:r>
    </w:p>
    <w:p>
      <w:pPr>
        <w:spacing w:after="40" w:before="40"/>
      </w:pPr>
      <w:r>
        <w:rPr>
          <w:rFonts w:ascii="Consolas" w:cs="Consolas" w:eastAsia="Consolas" w:hAnsi="Consolas"/>
          <w:color w:val="1F4E79"/>
          <w:sz w:val="14"/>
          <w:szCs w:val="14"/>
        </w:rPr>
        <w:t xml:space="preserve">↑ ABOVE: shared — appears in 38 of 39 briefs  ·  id: related-briefs.li.e24f23ae</w:t>
      </w:r>
    </w:p>
    <w:p>
      <w:pPr>
        <w:spacing w:after="20" w:before="60"/>
        <w:ind w:left="360"/>
      </w:pPr>
      <w:r>
        <w:rPr>
          <w:sz w:val="21"/>
          <w:szCs w:val="21"/>
        </w:rPr>
        <w:t xml:space="preserve">— Current USBR operations</w:t>
      </w:r>
    </w:p>
    <w:p>
      <w:pPr>
        <w:spacing w:after="40" w:before="40"/>
      </w:pPr>
      <w:r>
        <w:rPr>
          <w:rFonts w:ascii="Consolas" w:cs="Consolas" w:eastAsia="Consolas" w:hAnsi="Consolas"/>
          <w:color w:val="1F4E79"/>
          <w:sz w:val="14"/>
          <w:szCs w:val="14"/>
        </w:rPr>
        <w:t xml:space="preserve">↑ ABOVE: shared — appears in 38 of 39 briefs  ·  id: related-briefs.li.f1bcf9c8</w:t>
      </w:r>
    </w:p>
    <w:p>
      <w:pPr>
        <w:spacing w:after="20" w:before="60"/>
        <w:ind w:left="360"/>
      </w:pPr>
      <w:r>
        <w:rPr>
          <w:sz w:val="21"/>
          <w:szCs w:val="21"/>
        </w:rPr>
        <w:t xml:space="preserve">— Current USBR operations without TUCPs</w:t>
      </w:r>
    </w:p>
    <w:p>
      <w:pPr>
        <w:spacing w:after="40" w:before="40"/>
      </w:pPr>
      <w:r>
        <w:rPr>
          <w:rFonts w:ascii="Consolas" w:cs="Consolas" w:eastAsia="Consolas" w:hAnsi="Consolas"/>
          <w:color w:val="1F4E79"/>
          <w:sz w:val="14"/>
          <w:szCs w:val="14"/>
        </w:rPr>
        <w:t xml:space="preserve">↑ ABOVE: shared — appears in 38 of 39 briefs  ·  id: related-briefs.li.a0d4529b</w:t>
      </w:r>
    </w:p>
    <w:p>
      <w:pPr>
        <w:spacing w:after="20" w:before="60"/>
        <w:ind w:left="360"/>
      </w:pPr>
      <w:r>
        <w:rPr>
          <w:sz w:val="21"/>
          <w:szCs w:val="21"/>
        </w:rPr>
        <w:t xml:space="preserve">— Delta Conveyance Project</w:t>
      </w:r>
    </w:p>
    <w:p>
      <w:pPr>
        <w:spacing w:after="40" w:before="40"/>
      </w:pPr>
      <w:r>
        <w:rPr>
          <w:rFonts w:ascii="Consolas" w:cs="Consolas" w:eastAsia="Consolas" w:hAnsi="Consolas"/>
          <w:color w:val="1F4E79"/>
          <w:sz w:val="14"/>
          <w:szCs w:val="14"/>
        </w:rPr>
        <w:t xml:space="preserve">↑ ABOVE: shared — appears in 38 of 39 briefs  ·  id: related-briefs.li.eb4e04a2</w:t>
      </w:r>
    </w:p>
    <w:p>
      <w:pPr>
        <w:spacing w:after="20" w:before="60"/>
        <w:ind w:left="360"/>
      </w:pPr>
      <w:r>
        <w:rPr>
          <w:sz w:val="21"/>
          <w:szCs w:val="21"/>
        </w:rPr>
        <w:t xml:space="preserve">— Functional environmental flows</w:t>
      </w:r>
    </w:p>
    <w:p>
      <w:pPr>
        <w:spacing w:after="40" w:before="40"/>
      </w:pPr>
      <w:r>
        <w:rPr>
          <w:rFonts w:ascii="Consolas" w:cs="Consolas" w:eastAsia="Consolas" w:hAnsi="Consolas"/>
          <w:color w:val="1F4E79"/>
          <w:sz w:val="14"/>
          <w:szCs w:val="14"/>
        </w:rPr>
        <w:t xml:space="preserve">↑ ABOVE: shared — appears in 38 of 39 briefs  ·  id: related-briefs.li.f63a078e</w:t>
      </w:r>
    </w:p>
    <w:p>
      <w:pPr>
        <w:spacing w:after="20" w:before="60"/>
        <w:ind w:left="360"/>
      </w:pPr>
      <w:r>
        <w:rPr>
          <w:sz w:val="21"/>
          <w:szCs w:val="21"/>
        </w:rPr>
        <w:t xml:space="preserve">— Functional environmental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related-briefs.li.1ee0a5d9</w:t>
      </w:r>
    </w:p>
    <w:p>
      <w:pPr>
        <w:spacing w:after="20" w:before="60"/>
        <w:ind w:left="360"/>
      </w:pPr>
      <w:r>
        <w:rPr>
          <w:sz w:val="21"/>
          <w:szCs w:val="21"/>
        </w:rPr>
        <w:t xml:space="preserve">— Groundwater pumping limits and reduced crop acreage in the Central Valley</w:t>
      </w:r>
    </w:p>
    <w:p>
      <w:pPr>
        <w:spacing w:after="40" w:before="40"/>
      </w:pPr>
      <w:r>
        <w:rPr>
          <w:rFonts w:ascii="Consolas" w:cs="Consolas" w:eastAsia="Consolas" w:hAnsi="Consolas"/>
          <w:color w:val="1F4E79"/>
          <w:sz w:val="14"/>
          <w:szCs w:val="14"/>
        </w:rPr>
        <w:t xml:space="preserve">↑ ABOVE: shared — appears in 38 of 39 briefs  ·  id: related-briefs.li.1b7be0b1</w:t>
      </w:r>
    </w:p>
    <w:p>
      <w:pPr>
        <w:spacing w:after="20" w:before="60"/>
        <w:ind w:left="360"/>
      </w:pPr>
      <w:r>
        <w:rPr>
          <w:sz w:val="21"/>
          <w:szCs w:val="21"/>
        </w:rPr>
        <w:t xml:space="preserve">— Groundwater pumping limits and reduced crop acreage in the San Joaquin Valley</w:t>
      </w:r>
    </w:p>
    <w:p>
      <w:pPr>
        <w:spacing w:after="40" w:before="40"/>
      </w:pPr>
      <w:r>
        <w:rPr>
          <w:rFonts w:ascii="Consolas" w:cs="Consolas" w:eastAsia="Consolas" w:hAnsi="Consolas"/>
          <w:color w:val="1F4E79"/>
          <w:sz w:val="14"/>
          <w:szCs w:val="14"/>
        </w:rPr>
        <w:t xml:space="preserve">↑ ABOVE: shared — appears in 38 of 39 briefs  ·  id: related-briefs.li.148fa552</w:t>
      </w:r>
    </w:p>
    <w:p>
      <w:pPr>
        <w:spacing w:after="20" w:before="60"/>
        <w:ind w:left="360"/>
      </w:pPr>
      <w:r>
        <w:rPr>
          <w:sz w:val="21"/>
          <w:szCs w:val="21"/>
        </w:rPr>
        <w:t xml:space="preserve">— Groundwater pumping limits in the Central Valley</w:t>
      </w:r>
    </w:p>
    <w:p>
      <w:pPr>
        <w:spacing w:after="40" w:before="40"/>
      </w:pPr>
      <w:r>
        <w:rPr>
          <w:rFonts w:ascii="Consolas" w:cs="Consolas" w:eastAsia="Consolas" w:hAnsi="Consolas"/>
          <w:color w:val="1F4E79"/>
          <w:sz w:val="14"/>
          <w:szCs w:val="14"/>
        </w:rPr>
        <w:t xml:space="preserve">↑ ABOVE: shared — appears in 38 of 39 briefs  ·  id: related-briefs.li.37ffec90</w:t>
      </w:r>
    </w:p>
    <w:p>
      <w:pPr>
        <w:spacing w:after="20" w:before="60"/>
        <w:ind w:left="360"/>
      </w:pPr>
      <w:r>
        <w:rPr>
          <w:sz w:val="21"/>
          <w:szCs w:val="21"/>
        </w:rPr>
        <w:t xml:space="preserve">— Groundwater pumping limits in the San Joaquin Valley</w:t>
      </w:r>
    </w:p>
    <w:p>
      <w:pPr>
        <w:spacing w:after="40" w:before="40"/>
      </w:pPr>
      <w:r>
        <w:rPr>
          <w:rFonts w:ascii="Consolas" w:cs="Consolas" w:eastAsia="Consolas" w:hAnsi="Consolas"/>
          <w:color w:val="1F4E79"/>
          <w:sz w:val="14"/>
          <w:szCs w:val="14"/>
        </w:rPr>
        <w:t xml:space="preserve">↑ ABOVE: shared — appears in 38 of 39 briefs  ·  id: related-briefs.li.4dcc145b</w:t>
      </w:r>
    </w:p>
    <w:p>
      <w:pPr>
        <w:spacing w:after="20" w:before="60"/>
        <w:ind w:left="360"/>
      </w:pPr>
      <w:r>
        <w:rPr>
          <w:sz w:val="21"/>
          <w:szCs w:val="21"/>
        </w:rPr>
        <w:t xml:space="preserve">— Increase Delta outflows (55% of unimpaired flow)</w:t>
      </w:r>
    </w:p>
    <w:p>
      <w:pPr>
        <w:spacing w:after="40" w:before="40"/>
      </w:pPr>
      <w:r>
        <w:rPr>
          <w:rFonts w:ascii="Consolas" w:cs="Consolas" w:eastAsia="Consolas" w:hAnsi="Consolas"/>
          <w:color w:val="1F4E79"/>
          <w:sz w:val="14"/>
          <w:szCs w:val="14"/>
        </w:rPr>
        <w:t xml:space="preserve">↑ ABOVE: shared — appears in 38 of 39 briefs  ·  id: related-briefs.li.5de75544</w:t>
      </w:r>
    </w:p>
    <w:p>
      <w:pPr>
        <w:spacing w:after="20" w:before="60"/>
        <w:ind w:left="360"/>
      </w:pPr>
      <w:r>
        <w:rPr>
          <w:sz w:val="21"/>
          <w:szCs w:val="21"/>
        </w:rPr>
        <w:t xml:space="preserve">— Increase Delta outflows (65% of unimpaired flow)</w:t>
      </w:r>
    </w:p>
    <w:p>
      <w:pPr>
        <w:spacing w:after="40" w:before="40"/>
      </w:pPr>
      <w:r>
        <w:rPr>
          <w:rFonts w:ascii="Consolas" w:cs="Consolas" w:eastAsia="Consolas" w:hAnsi="Consolas"/>
          <w:color w:val="1F4E79"/>
          <w:sz w:val="14"/>
          <w:szCs w:val="14"/>
        </w:rPr>
        <w:t xml:space="preserve">↑ ABOVE: shared — appears in 38 of 39 briefs  ·  id: related-briefs.li.d835f166</w:t>
      </w:r>
    </w:p>
    <w:p>
      <w:pPr>
        <w:spacing w:after="20" w:before="60"/>
        <w:ind w:left="360"/>
      </w:pPr>
      <w:r>
        <w:rPr>
          <w:sz w:val="21"/>
          <w:szCs w:val="21"/>
        </w:rPr>
        <w:t xml:space="preserve">— Increase Shasta carry-over storage</w:t>
      </w:r>
    </w:p>
    <w:p>
      <w:pPr>
        <w:spacing w:after="40" w:before="40"/>
      </w:pPr>
      <w:r>
        <w:rPr>
          <w:rFonts w:ascii="Consolas" w:cs="Consolas" w:eastAsia="Consolas" w:hAnsi="Consolas"/>
          <w:color w:val="1F4E79"/>
          <w:sz w:val="14"/>
          <w:szCs w:val="14"/>
        </w:rPr>
        <w:t xml:space="preserve">↑ ABOVE: shared — appears in 38 of 39 briefs  ·  id: related-briefs.li.b3511fd2</w:t>
      </w:r>
    </w:p>
    <w:p>
      <w:pPr>
        <w:spacing w:after="20" w:before="60"/>
        <w:ind w:left="360"/>
      </w:pPr>
      <w:r>
        <w:rPr>
          <w:sz w:val="21"/>
          <w:szCs w:val="21"/>
        </w:rPr>
        <w:t xml:space="preserve">— Maintain Delta outflows (45% of unimpaired flow)</w:t>
      </w:r>
    </w:p>
    <w:p>
      <w:pPr>
        <w:spacing w:after="40" w:before="40"/>
      </w:pPr>
      <w:r>
        <w:rPr>
          <w:rFonts w:ascii="Consolas" w:cs="Consolas" w:eastAsia="Consolas" w:hAnsi="Consolas"/>
          <w:color w:val="1F4E79"/>
          <w:sz w:val="14"/>
          <w:szCs w:val="14"/>
        </w:rPr>
        <w:t xml:space="preserve">↑ ABOVE: shared — appears in 38 of 39 briefs  ·  id: related-briefs.li.ef841eb3</w:t>
      </w:r>
    </w:p>
    <w:p>
      <w:pPr>
        <w:spacing w:after="20" w:before="60"/>
        <w:ind w:left="360"/>
      </w:pPr>
      <w:r>
        <w:rPr>
          <w:sz w:val="21"/>
          <w:szCs w:val="21"/>
        </w:rPr>
        <w:t xml:space="preserve">— No minimum flow requirements</w:t>
      </w:r>
    </w:p>
    <w:p>
      <w:pPr>
        <w:spacing w:after="40" w:before="40"/>
      </w:pPr>
      <w:r>
        <w:rPr>
          <w:rFonts w:ascii="Consolas" w:cs="Consolas" w:eastAsia="Consolas" w:hAnsi="Consolas"/>
          <w:color w:val="1F4E79"/>
          <w:sz w:val="14"/>
          <w:szCs w:val="14"/>
        </w:rPr>
        <w:t xml:space="preserve">↑ ABOVE: shared — appears in 38 of 39 briefs  ·  id: related-briefs.li.dc8c0608</w:t>
      </w:r>
    </w:p>
    <w:p>
      <w:pPr>
        <w:spacing w:after="20" w:before="60"/>
        <w:ind w:left="360"/>
      </w:pPr>
      <w:r>
        <w:rPr>
          <w:sz w:val="21"/>
          <w:szCs w:val="21"/>
        </w:rPr>
        <w:t xml:space="preserve">— Prioritizing full demands of community water systems</w:t>
      </w:r>
    </w:p>
    <w:p>
      <w:pPr>
        <w:spacing w:after="40" w:before="40"/>
      </w:pPr>
      <w:r>
        <w:rPr>
          <w:rFonts w:ascii="Consolas" w:cs="Consolas" w:eastAsia="Consolas" w:hAnsi="Consolas"/>
          <w:color w:val="1F4E79"/>
          <w:sz w:val="14"/>
          <w:szCs w:val="14"/>
        </w:rPr>
        <w:t xml:space="preserve">↑ ABOVE: shared — appears in 38 of 39 briefs  ·  id: related-briefs.li.eb184b7e</w:t>
      </w:r>
    </w:p>
    <w:p>
      <w:pPr>
        <w:spacing w:after="20" w:before="60"/>
        <w:ind w:left="360"/>
      </w:pPr>
      <w:r>
        <w:rPr>
          <w:sz w:val="21"/>
          <w:szCs w:val="21"/>
        </w:rPr>
        <w:t xml:space="preserve">— Prioritizing human health delivery levels to community water systems</w:t>
      </w:r>
    </w:p>
    <w:p>
      <w:pPr>
        <w:spacing w:after="40" w:before="40"/>
      </w:pPr>
      <w:r>
        <w:rPr>
          <w:rFonts w:ascii="Consolas" w:cs="Consolas" w:eastAsia="Consolas" w:hAnsi="Consolas"/>
          <w:color w:val="1F4E79"/>
          <w:sz w:val="14"/>
          <w:szCs w:val="14"/>
        </w:rPr>
        <w:t xml:space="preserve">↑ ABOVE: shared — appears in 38 of 39 briefs  ·  id: related-briefs.li.41b67391</w:t>
      </w:r>
    </w:p>
    <w:p>
      <w:pPr>
        <w:spacing w:after="20" w:before="60"/>
        <w:ind w:left="360"/>
      </w:pPr>
      <w:r>
        <w:rPr>
          <w:sz w:val="21"/>
          <w:szCs w:val="21"/>
        </w:rPr>
        <w:t xml:space="preserve">— Reduce Delta outflows (35% of unimpaired flow)</w:t>
      </w:r>
    </w:p>
    <w:p>
      <w:pPr>
        <w:spacing w:after="40" w:before="40"/>
      </w:pPr>
      <w:r>
        <w:rPr>
          <w:rFonts w:ascii="Consolas" w:cs="Consolas" w:eastAsia="Consolas" w:hAnsi="Consolas"/>
          <w:color w:val="1F4E79"/>
          <w:sz w:val="14"/>
          <w:szCs w:val="14"/>
        </w:rPr>
        <w:t xml:space="preserve">↑ ABOVE: shared — appears in 38 of 39 briefs  ·  id: related-briefs.li.00932dd4</w:t>
      </w:r>
    </w:p>
    <w:p>
      <w:pPr>
        <w:spacing w:after="20" w:before="60"/>
        <w:ind w:left="360"/>
      </w:pPr>
      <w:r>
        <w:rPr>
          <w:sz w:val="21"/>
          <w:szCs w:val="21"/>
        </w:rPr>
        <w:t xml:space="preserve">— Relax Delta salinity standards</w:t>
      </w:r>
    </w:p>
    <w:p>
      <w:pPr>
        <w:spacing w:after="40" w:before="40"/>
      </w:pPr>
      <w:r>
        <w:rPr>
          <w:rFonts w:ascii="Consolas" w:cs="Consolas" w:eastAsia="Consolas" w:hAnsi="Consolas"/>
          <w:color w:val="1F4E79"/>
          <w:sz w:val="14"/>
          <w:szCs w:val="14"/>
        </w:rPr>
        <w:t xml:space="preserve">↑ ABOVE: shared — appears in 38 of 39 briefs  ·  id: related-briefs.li.f23a7ac2</w:t>
      </w:r>
    </w:p>
    <w:p>
      <w:pPr>
        <w:spacing w:after="20" w:before="60"/>
        <w:ind w:left="360"/>
      </w:pPr>
      <w:r>
        <w:rPr>
          <w:sz w:val="21"/>
          <w:szCs w:val="21"/>
        </w:rPr>
        <w:t xml:space="preserve">— Salmon-friendly flows</w:t>
      </w:r>
    </w:p>
    <w:p>
      <w:pPr>
        <w:spacing w:after="40" w:before="40"/>
      </w:pPr>
      <w:r>
        <w:rPr>
          <w:rFonts w:ascii="Consolas" w:cs="Consolas" w:eastAsia="Consolas" w:hAnsi="Consolas"/>
          <w:color w:val="1F4E79"/>
          <w:sz w:val="14"/>
          <w:szCs w:val="14"/>
        </w:rPr>
        <w:t xml:space="preserve">↑ ABOVE: shared — appears in 38 of 39 briefs  ·  id: related-briefs.li.ca991ba1</w:t>
      </w:r>
    </w:p>
    <w:p>
      <w:pPr>
        <w:spacing w:after="20" w:before="60"/>
        <w:ind w:left="360"/>
      </w:pPr>
      <w:r>
        <w:rPr>
          <w:sz w:val="21"/>
          <w:szCs w:val="21"/>
        </w:rPr>
        <w:t xml:space="preserve">— Salmon-friendly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related-briefs.li.9db19ab3</w:t>
      </w:r>
    </w:p>
    <w:p>
      <w:pPr>
        <w:spacing w:after="20" w:before="60"/>
        <w:ind w:left="360"/>
      </w:pPr>
      <w:r>
        <w:rPr>
          <w:sz w:val="21"/>
          <w:szCs w:val="21"/>
        </w:rPr>
        <w:t xml:space="preserve">— The water system under current operations</w:t>
      </w:r>
    </w:p>
    <w:p>
      <w:pPr>
        <w:spacing w:after="40" w:before="40"/>
      </w:pPr>
      <w:r>
        <w:rPr>
          <w:rFonts w:ascii="Consolas" w:cs="Consolas" w:eastAsia="Consolas" w:hAnsi="Consolas"/>
          <w:color w:val="1F4E79"/>
          <w:sz w:val="14"/>
          <w:szCs w:val="14"/>
        </w:rPr>
        <w:t xml:space="preserve">↑ ABOVE: shared — appears in 38 of 39 briefs  ·  id: related-briefs.li.d39da71b</w:t>
      </w:r>
    </w:p>
    <w:p>
      <w:pPr>
        <w:spacing w:after="20" w:before="100"/>
      </w:pPr>
      <w:r>
        <w:rPr>
          <w:sz w:val="21"/>
          <w:szCs w:val="21"/>
        </w:rPr>
        <w:t xml:space="preserve">What happens to one sector under every strategy? A sector brief transposes this grid — one sector of the water system, every strategy, the same five hydroclimates:</w:t>
      </w:r>
    </w:p>
    <w:p>
      <w:pPr>
        <w:spacing w:after="40" w:before="40"/>
      </w:pPr>
      <w:r>
        <w:rPr>
          <w:rFonts w:ascii="Consolas" w:cs="Consolas" w:eastAsia="Consolas" w:hAnsi="Consolas"/>
          <w:color w:val="1F4E79"/>
          <w:sz w:val="14"/>
          <w:szCs w:val="14"/>
        </w:rPr>
        <w:t xml:space="preserve">↑ ABOVE: shared — appears in 24 of 39 briefs  ·  id: related-briefs.p.6ccd1128</w:t>
      </w:r>
    </w:p>
    <w:p>
      <w:pPr>
        <w:spacing w:after="20" w:before="60"/>
        <w:ind w:left="360"/>
      </w:pPr>
      <w:r>
        <w:rPr>
          <w:sz w:val="21"/>
          <w:szCs w:val="21"/>
        </w:rPr>
        <w:t xml:space="preserve">— Agriculture</w:t>
      </w:r>
    </w:p>
    <w:p>
      <w:pPr>
        <w:spacing w:after="40" w:before="40"/>
      </w:pPr>
      <w:r>
        <w:rPr>
          <w:rFonts w:ascii="Consolas" w:cs="Consolas" w:eastAsia="Consolas" w:hAnsi="Consolas"/>
          <w:color w:val="1F4E79"/>
          <w:sz w:val="14"/>
          <w:szCs w:val="14"/>
        </w:rPr>
        <w:t xml:space="preserve">↑ ABOVE: shared — appears in 32 of 39 briefs  ·  id: related-briefs.li.8d1cd3f0</w:t>
      </w:r>
    </w:p>
    <w:p>
      <w:pPr>
        <w:spacing w:after="20" w:before="60"/>
        <w:ind w:left="360"/>
      </w:pPr>
      <w:r>
        <w:rPr>
          <w:sz w:val="21"/>
          <w:szCs w:val="21"/>
        </w:rPr>
        <w:t xml:space="preserve">— Bay-Delta estuary ecology</w:t>
      </w:r>
    </w:p>
    <w:p>
      <w:pPr>
        <w:spacing w:after="40" w:before="40"/>
      </w:pPr>
      <w:r>
        <w:rPr>
          <w:rFonts w:ascii="Consolas" w:cs="Consolas" w:eastAsia="Consolas" w:hAnsi="Consolas"/>
          <w:color w:val="1F4E79"/>
          <w:sz w:val="14"/>
          <w:szCs w:val="14"/>
        </w:rPr>
        <w:t xml:space="preserve">↑ ABOVE: shared — appears in 32 of 39 briefs  ·  id: related-briefs.li.7e484d17</w:t>
      </w:r>
    </w:p>
    <w:p>
      <w:pPr>
        <w:spacing w:after="20" w:before="60"/>
        <w:ind w:left="360"/>
      </w:pPr>
      <w:r>
        <w:rPr>
          <w:sz w:val="21"/>
          <w:szCs w:val="21"/>
        </w:rPr>
        <w:t xml:space="preserve">— Community water systems</w:t>
      </w:r>
    </w:p>
    <w:p>
      <w:pPr>
        <w:spacing w:after="40" w:before="40"/>
      </w:pPr>
      <w:r>
        <w:rPr>
          <w:rFonts w:ascii="Consolas" w:cs="Consolas" w:eastAsia="Consolas" w:hAnsi="Consolas"/>
          <w:color w:val="1F4E79"/>
          <w:sz w:val="14"/>
          <w:szCs w:val="14"/>
        </w:rPr>
        <w:t xml:space="preserve">↑ ABOVE: shared — appears in 32 of 39 briefs  ·  id: related-briefs.li.bac999b7</w:t>
      </w:r>
    </w:p>
    <w:p>
      <w:pPr>
        <w:spacing w:after="20" w:before="60"/>
        <w:ind w:left="360"/>
      </w:pPr>
      <w:r>
        <w:rPr>
          <w:sz w:val="21"/>
          <w:szCs w:val="21"/>
        </w:rPr>
        <w:t xml:space="preserve">— Environmental flows</w:t>
      </w:r>
    </w:p>
    <w:p>
      <w:pPr>
        <w:spacing w:after="40" w:before="40"/>
      </w:pPr>
      <w:r>
        <w:rPr>
          <w:rFonts w:ascii="Consolas" w:cs="Consolas" w:eastAsia="Consolas" w:hAnsi="Consolas"/>
          <w:color w:val="1F4E79"/>
          <w:sz w:val="14"/>
          <w:szCs w:val="14"/>
        </w:rPr>
        <w:t xml:space="preserve">↑ ABOVE: shared — appears in 32 of 39 briefs  ·  id: related-briefs.li.b1863999</w:t>
      </w:r>
    </w:p>
    <w:p>
      <w:pPr>
        <w:spacing w:after="20" w:before="60"/>
        <w:ind w:left="360"/>
      </w:pPr>
      <w:r>
        <w:rPr>
          <w:sz w:val="21"/>
          <w:szCs w:val="21"/>
        </w:rPr>
        <w:t xml:space="preserve">— Freshwater for Delta exports</w:t>
      </w:r>
    </w:p>
    <w:p>
      <w:pPr>
        <w:spacing w:after="40" w:before="40"/>
      </w:pPr>
      <w:r>
        <w:rPr>
          <w:rFonts w:ascii="Consolas" w:cs="Consolas" w:eastAsia="Consolas" w:hAnsi="Consolas"/>
          <w:color w:val="1F4E79"/>
          <w:sz w:val="14"/>
          <w:szCs w:val="14"/>
        </w:rPr>
        <w:t xml:space="preserve">↑ ABOVE: shared — appears in 32 of 39 briefs  ·  id: related-briefs.li.10032cb7</w:t>
      </w:r>
    </w:p>
    <w:p>
      <w:pPr>
        <w:spacing w:after="20" w:before="60"/>
        <w:ind w:left="360"/>
      </w:pPr>
      <w:r>
        <w:rPr>
          <w:sz w:val="21"/>
          <w:szCs w:val="21"/>
        </w:rPr>
        <w:t xml:space="preserve">— Freshwater for in-Delta uses</w:t>
      </w:r>
    </w:p>
    <w:p>
      <w:pPr>
        <w:spacing w:after="40" w:before="40"/>
      </w:pPr>
      <w:r>
        <w:rPr>
          <w:rFonts w:ascii="Consolas" w:cs="Consolas" w:eastAsia="Consolas" w:hAnsi="Consolas"/>
          <w:color w:val="1F4E79"/>
          <w:sz w:val="14"/>
          <w:szCs w:val="14"/>
        </w:rPr>
        <w:t xml:space="preserve">↑ ABOVE: shared — appears in 32 of 39 briefs  ·  id: related-briefs.li.7c2b4043</w:t>
      </w:r>
    </w:p>
    <w:p>
      <w:pPr>
        <w:spacing w:after="20" w:before="60"/>
        <w:ind w:left="360"/>
      </w:pPr>
      <w:r>
        <w:rPr>
          <w:sz w:val="21"/>
          <w:szCs w:val="21"/>
        </w:rPr>
        <w:t xml:space="preserve">— Groundwater storage</w:t>
      </w:r>
    </w:p>
    <w:p>
      <w:pPr>
        <w:spacing w:after="40" w:before="40"/>
      </w:pPr>
      <w:r>
        <w:rPr>
          <w:rFonts w:ascii="Consolas" w:cs="Consolas" w:eastAsia="Consolas" w:hAnsi="Consolas"/>
          <w:color w:val="1F4E79"/>
          <w:sz w:val="14"/>
          <w:szCs w:val="14"/>
        </w:rPr>
        <w:t xml:space="preserve">↑ ABOVE: shared — appears in 32 of 39 briefs  ·  id: related-briefs.li.40aa6c62</w:t>
      </w:r>
    </w:p>
    <w:p>
      <w:pPr>
        <w:spacing w:after="20" w:before="60"/>
        <w:ind w:left="360"/>
      </w:pPr>
      <w:r>
        <w:rPr>
          <w:sz w:val="21"/>
          <w:szCs w:val="21"/>
        </w:rPr>
        <w:t xml:space="preserve">— Reservoir storage</w:t>
      </w:r>
    </w:p>
    <w:p>
      <w:pPr>
        <w:spacing w:after="40" w:before="40"/>
      </w:pPr>
      <w:r>
        <w:rPr>
          <w:rFonts w:ascii="Consolas" w:cs="Consolas" w:eastAsia="Consolas" w:hAnsi="Consolas"/>
          <w:color w:val="1F4E79"/>
          <w:sz w:val="14"/>
          <w:szCs w:val="14"/>
        </w:rPr>
        <w:t xml:space="preserve">↑ ABOVE: shared — appears in 32 of 39 briefs  ·  id: related-briefs.li.c9c20c5e</w:t>
      </w:r>
    </w:p>
    <w:p>
      <w:pPr>
        <w:spacing w:after="20" w:before="60"/>
        <w:ind w:left="360"/>
      </w:pPr>
      <w:r>
        <w:rPr>
          <w:sz w:val="21"/>
          <w:szCs w:val="21"/>
        </w:rPr>
        <w:t xml:space="preserve">— Winter-run Chinook salmon</w:t>
      </w:r>
    </w:p>
    <w:p>
      <w:pPr>
        <w:spacing w:after="40" w:before="40"/>
      </w:pPr>
      <w:r>
        <w:rPr>
          <w:rFonts w:ascii="Consolas" w:cs="Consolas" w:eastAsia="Consolas" w:hAnsi="Consolas"/>
          <w:color w:val="1F4E79"/>
          <w:sz w:val="14"/>
          <w:szCs w:val="14"/>
        </w:rPr>
        <w:t xml:space="preserve">↑ ABOVE: shared — appears in 32 of 39 briefs  ·  id: related-briefs.li.bde4501e</w:t>
      </w:r>
    </w:p>
    <w:p>
      <w:pPr>
        <w:spacing w:after="20" w:before="100"/>
      </w:pPr>
      <w:r>
        <w:rPr>
          <w:sz w:val="21"/>
          <w:szCs w:val="21"/>
        </w:rPr>
        <w:t xml:space="preserve">How were the five hydroclimates constructed? The hydroclimates reference brief defines them. It reports no results of its own; every brief above is read against the same five.</w:t>
      </w:r>
    </w:p>
    <w:p>
      <w:pPr>
        <w:spacing w:after="40" w:before="40"/>
      </w:pPr>
      <w:r>
        <w:rPr>
          <w:rFonts w:ascii="Consolas" w:cs="Consolas" w:eastAsia="Consolas" w:hAnsi="Consolas"/>
          <w:color w:val="A33A3A"/>
          <w:sz w:val="14"/>
          <w:szCs w:val="14"/>
        </w:rPr>
        <w:t xml:space="preserve">↑ ABOVE: shared — appears in all 39 briefs  ·  id: related-briefs.p.b5e9f881</w:t>
      </w:r>
    </w:p>
    <w:p>
      <w:pPr>
        <w:pStyle w:val="Heading2"/>
        <w:spacing w:after="60" w:before="280"/>
      </w:pPr>
      <w:r>
        <w:rPr>
          <w:sz w:val="26"/>
          <w:szCs w:val="26"/>
        </w:rPr>
        <w:t xml:space="preserve">What this doesn’t say</w:t>
      </w:r>
    </w:p>
    <w:p>
      <w:pPr>
        <w:spacing w:after="40"/>
      </w:pPr>
      <w:r>
        <w:rPr>
          <w:rFonts w:ascii="Consolas" w:cs="Consolas" w:eastAsia="Consolas" w:hAnsi="Consolas"/>
          <w:color w:val="767171"/>
          <w:sz w:val="14"/>
          <w:szCs w:val="14"/>
        </w:rPr>
        <w:t xml:space="preserve">section id: what-this-doesnt-say</w:t>
      </w:r>
    </w:p>
    <w:p>
      <w:pPr>
        <w:spacing w:after="40" w:before="20"/>
      </w:pPr>
      <w:r>
        <w:rPr>
          <w:rFonts w:ascii="Consolas" w:cs="Consolas" w:eastAsia="Consolas" w:hAnsi="Consolas"/>
          <w:color w:val="767171"/>
          <w:sz w:val="14"/>
          <w:szCs w:val="14"/>
        </w:rPr>
        <w:t xml:space="preserve">↑ ABOVE: heading  ·  id: what-this-doesnt-say.h2.124ace06</w:t>
      </w:r>
    </w:p>
    <w:p>
      <w:pPr>
        <w:spacing w:after="20" w:before="100"/>
      </w:pPr>
      <w:r>
        <w:rPr>
          <w:sz w:val="21"/>
          <w:szCs w:val="21"/>
        </w:rPr>
        <w:t xml:space="preserve">This brief reports modeled results from a specific ensemble. It does not predict what will happen, evaluate whether those results are acceptable, or recommend any course of action. The tier framework provides definitional categories; the meaning of those categories for any individual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what-this-doesnt-say.p.249fc569</w:t>
      </w:r>
    </w:p>
    <w:p>
      <w:pPr>
        <w:spacing w:after="20" w:before="100"/>
      </w:pPr>
      <w:r>
        <w:rPr>
          <w:sz w:val="21"/>
          <w:szCs w:val="21"/>
        </w:rPr>
        <w:t xml:space="preserve">In particular, for this brief: the five hydroclimates are a sample of stress levels, carry no probabilities, and are not a timeline, so no average over them is reported here. Splitting a difference into two effects is arithmetic on modeled values, not a causal claim about the water system, and the two are separable only because each is defined against its own reference. A step or a spread on the tier axis is a modeled magnitude, not a benefit or a cost. A sector’s value is the unweighted mean of its locations, so locations count equally regardless of the people, acres, or acre-feet each represents, and a location already at either end of the scale cannot move further along it. Locations are modeled nodes, not measured conditions at a place.</w:t>
      </w:r>
    </w:p>
    <w:p>
      <w:pPr>
        <w:spacing w:after="40" w:before="40"/>
      </w:pPr>
      <w:r>
        <w:rPr>
          <w:rFonts w:ascii="Consolas" w:cs="Consolas" w:eastAsia="Consolas" w:hAnsi="Consolas"/>
          <w:color w:val="1F4E79"/>
          <w:sz w:val="14"/>
          <w:szCs w:val="14"/>
        </w:rPr>
        <w:t xml:space="preserve">↑ ABOVE: shared — appears in 33 of 39 briefs  ·  id: what-this-doesnt-say.p.d7fcc155</w:t>
      </w:r>
    </w:p>
    <w:p>
      <w:pPr>
        <w:spacing w:after="20" w:before="100"/>
      </w:pPr>
      <w:r>
        <w:rPr>
          <w:sz w:val="21"/>
          <w:szCs w:val="21"/>
        </w:rPr>
        <w:t xml:space="preserve">Extreme climate stress holds the single highest of a sector’s five values in eight of the nine sectors reported here. In one the highest falls under a different hydroclimate. So where a sector’s highest value falls is not settled by construction.</w:t>
      </w:r>
    </w:p>
    <w:p>
      <w:pPr>
        <w:spacing w:after="40" w:before="40"/>
      </w:pPr>
      <w:r>
        <w:rPr>
          <w:rFonts w:ascii="Consolas" w:cs="Consolas" w:eastAsia="Consolas" w:hAnsi="Consolas"/>
          <w:color w:val="1F4E79"/>
          <w:sz w:val="14"/>
          <w:szCs w:val="14"/>
        </w:rPr>
        <w:t xml:space="preserve">↑ ABOVE: shared — appears in 16 of 39 briefs  ·  id: what-this-doesnt-say.p.8e2a2115</w:t>
      </w:r>
    </w:p>
    <w:p>
      <w:pPr>
        <w:pStyle w:val="Heading2"/>
        <w:spacing w:after="60" w:before="280"/>
      </w:pPr>
      <w:r>
        <w:rPr>
          <w:sz w:val="26"/>
          <w:szCs w:val="26"/>
        </w:rPr>
        <w:t xml:space="preserve">References, run identifiers and the build stamp</w:t>
      </w:r>
    </w:p>
    <w:p>
      <w:pPr>
        <w:spacing w:after="40"/>
      </w:pPr>
      <w:r>
        <w:rPr>
          <w:rFonts w:ascii="Consolas" w:cs="Consolas" w:eastAsia="Consolas" w:hAnsi="Consolas"/>
          <w:color w:val="767171"/>
          <w:sz w:val="14"/>
          <w:szCs w:val="14"/>
        </w:rPr>
        <w:t xml:space="preserve">section id: references</w:t>
      </w:r>
    </w:p>
    <w:p>
      <w:pPr>
        <w:spacing w:after="40" w:before="20"/>
      </w:pPr>
      <w:r>
        <w:rPr>
          <w:rFonts w:ascii="Consolas" w:cs="Consolas" w:eastAsia="Consolas" w:hAnsi="Consolas"/>
          <w:color w:val="767171"/>
          <w:sz w:val="14"/>
          <w:szCs w:val="14"/>
        </w:rPr>
        <w:t xml:space="preserve">↑ ABOVE: heading  ·  id: references.h2.4c72c2fc</w:t>
      </w:r>
    </w:p>
    <w:p>
      <w:pPr>
        <w:spacing w:after="20" w:before="100"/>
      </w:pPr>
      <w:r>
        <w:rPr>
          <w:sz w:val="21"/>
          <w:szCs w:val="21"/>
        </w:rPr>
        <w:t xml:space="preserve">Model runs (this strategy / current operations): Historical s0011 / s0020; Moderate s0133 / s0134; Moderate-high s0048 / s0047; High s0057 / s0056; Extreme s0107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references.p.766c6754</w:t>
      </w:r>
    </w:p>
    <w:p>
      <w:pPr>
        <w:spacing w:after="20" w:before="100"/>
      </w:pPr>
      <w:r>
        <w:rPr>
          <w:sz w:val="21"/>
          <w:szCs w:val="21"/>
        </w:rPr>
        <w:t xml:space="preserve">Build stamp. Snapshot 2026-08-01; builder version 0.1.0; built 2026-08-09T21:32:18Z; snapshot data read 2026-08-01; verification: pass. The verification status is written by the independent check (briefbuilder.verifier), which recomputes every value in the companion data file from the per-location data and reads every arrow on this page, after both files are written. It is not stamped by whatever produced them.</w:t>
      </w:r>
    </w:p>
    <w:p>
      <w:pPr>
        <w:spacing w:after="40" w:before="40"/>
      </w:pPr>
      <w:r>
        <w:rPr>
          <w:rFonts w:ascii="Consolas" w:cs="Consolas" w:eastAsia="Consolas" w:hAnsi="Consolas"/>
          <w:color w:val="A33A3A"/>
          <w:sz w:val="14"/>
          <w:szCs w:val="14"/>
        </w:rPr>
        <w:t xml:space="preserve">↑ ABOVE: shared — appears in all 39 briefs  ·  id: references.p.c72d238c</w:t>
      </w:r>
    </w:p>
    <w:p>
      <w:pPr>
        <w:spacing w:after="20" w:before="100"/>
      </w:pPr>
      <w:r>
        <w:rPr>
          <w:sz w:val="21"/>
          <w:szCs w:val="21"/>
        </w:rPr>
        <w:t xml:space="preserve">Companion data file: results_current-operations-with-historical-land-use_schema1.json,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references.p.64d4ed6c</w:t>
      </w:r>
    </w:p>
    <w:p>
      <w:pPr>
        <w:pStyle w:val="Heading2"/>
        <w:spacing w:after="60" w:before="280"/>
      </w:pPr>
      <w:r>
        <w:rPr>
          <w:sz w:val="26"/>
          <w:szCs w:val="26"/>
        </w:rPr>
        <w:t xml:space="preserve">Explore further</w:t>
      </w:r>
    </w:p>
    <w:p>
      <w:pPr>
        <w:spacing w:after="40"/>
      </w:pPr>
      <w:r>
        <w:rPr>
          <w:rFonts w:ascii="Consolas" w:cs="Consolas" w:eastAsia="Consolas" w:hAnsi="Consolas"/>
          <w:color w:val="767171"/>
          <w:sz w:val="14"/>
          <w:szCs w:val="14"/>
        </w:rPr>
        <w:t xml:space="preserve">section id: explore-further</w:t>
      </w:r>
    </w:p>
    <w:p>
      <w:pPr>
        <w:spacing w:after="40" w:before="20"/>
      </w:pPr>
      <w:r>
        <w:rPr>
          <w:rFonts w:ascii="Consolas" w:cs="Consolas" w:eastAsia="Consolas" w:hAnsi="Consolas"/>
          <w:color w:val="767171"/>
          <w:sz w:val="14"/>
          <w:szCs w:val="14"/>
        </w:rPr>
        <w:t xml:space="preserve">↑ ABOVE: heading  ·  id: explore-further.h2.1ffe34ef</w:t>
      </w:r>
    </w:p>
    <w:p>
      <w:pPr>
        <w:spacing w:after="20" w:before="100"/>
      </w:pPr>
      <w:r>
        <w:rPr>
          <w:sz w:val="21"/>
          <w:szCs w:val="21"/>
        </w:rPr>
        <w:t xml:space="preserve">Every value on this page comes from the tier data, and the data explorer holds the same data without this brief’s selection of it. The link below opens current operations with historical land use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explore-further.p.2b042238</w:t>
      </w:r>
    </w:p>
    <w:p>
      <w:pPr>
        <w:spacing w:after="20" w:before="100"/>
      </w:pPr>
      <w:r>
        <w:rPr>
          <w:sz w:val="21"/>
          <w:szCs w:val="21"/>
        </w:rPr>
        <w:t xml:space="preserve">Open current operations with historical land use in the data explorer.</w:t>
      </w:r>
    </w:p>
    <w:p>
      <w:pPr>
        <w:spacing w:after="40" w:before="40"/>
      </w:pPr>
      <w:r>
        <w:rPr>
          <w:rFonts w:ascii="Consolas" w:cs="Consolas" w:eastAsia="Consolas" w:hAnsi="Consolas"/>
          <w:color w:val="767171"/>
          <w:sz w:val="14"/>
          <w:szCs w:val="14"/>
        </w:rPr>
        <w:t xml:space="preserve">↑ ABOVE: this brief only  ·  id: explore-further.p.ff103a85</w:t>
      </w:r>
    </w:p>
    <w:p>
      <w:pPr>
        <w:pStyle w:val="Heading2"/>
        <w:spacing w:after="60" w:before="280"/>
      </w:pPr>
      <w:r>
        <w:rPr>
          <w:sz w:val="26"/>
          <w:szCs w:val="26"/>
        </w:rPr>
        <w:t xml:space="preserve">How to read the values</w:t>
      </w:r>
    </w:p>
    <w:p>
      <w:pPr>
        <w:spacing w:after="40"/>
      </w:pPr>
      <w:r>
        <w:rPr>
          <w:rFonts w:ascii="Consolas" w:cs="Consolas" w:eastAsia="Consolas" w:hAnsi="Consolas"/>
          <w:color w:val="767171"/>
          <w:sz w:val="14"/>
          <w:szCs w:val="14"/>
        </w:rPr>
        <w:t xml:space="preserve">section id: how-to-read</w:t>
      </w:r>
    </w:p>
    <w:p>
      <w:pPr>
        <w:spacing w:after="40" w:before="20"/>
      </w:pPr>
      <w:r>
        <w:rPr>
          <w:rFonts w:ascii="Consolas" w:cs="Consolas" w:eastAsia="Consolas" w:hAnsi="Consolas"/>
          <w:color w:val="767171"/>
          <w:sz w:val="14"/>
          <w:szCs w:val="14"/>
        </w:rPr>
        <w:t xml:space="preserve">↑ ABOVE: heading  ·  id: how-to-read.h2.ed0bd067</w:t>
      </w:r>
    </w:p>
    <w:p>
      <w:pPr>
        <w:spacing w:after="20" w:before="100"/>
      </w:pPr>
      <w:r>
        <w:rPr>
          <w:sz w:val="21"/>
          <w:szCs w:val="21"/>
        </w:rPr>
        <w:t xml:space="preserve">The tier scale runs from 1 to 4.99. Tier 1 is the favourable end of the scale: the tier framework names Tier 1 Optimal and Tier 4 Critical, so a smaller value sits nearer Optimal and a larger value nearer Critical. The API serves this number in a field named weighted_score; that name describes how the number is computed, and does not mean that a larger number is a more favourable result.</w:t>
      </w:r>
    </w:p>
    <w:p>
      <w:pPr>
        <w:spacing w:after="40" w:before="40"/>
      </w:pPr>
      <w:r>
        <w:rPr>
          <w:rFonts w:ascii="Consolas" w:cs="Consolas" w:eastAsia="Consolas" w:hAnsi="Consolas"/>
          <w:color w:val="A33A3A"/>
          <w:sz w:val="14"/>
          <w:szCs w:val="14"/>
        </w:rPr>
        <w:t xml:space="preserve">↑ ABOVE: shared — appears in all 39 briefs  ·  id: how-to-read.p.6b2ad8ec</w:t>
      </w:r>
    </w:p>
    <w:p>
      <w:pPr>
        <w:spacing w:after="20" w:before="100"/>
      </w:pPr>
      <w:r>
        <w:rPr>
          <w:sz w:val="21"/>
          <w:szCs w:val="21"/>
        </w:rPr>
        <w:t xml:space="preserve">Two numbers describe each result. The integer tier_level is the tier label. tier_continuous is the position within the band of that label, and always falls inside it: tier_continuous is at least tier_level and less than tier_level plus one. Labels, counts and prose use tier_level; figure positions and statistics use tier_continuous.</w:t>
      </w:r>
    </w:p>
    <w:p>
      <w:pPr>
        <w:spacing w:after="40" w:before="40"/>
      </w:pPr>
      <w:r>
        <w:rPr>
          <w:rFonts w:ascii="Consolas" w:cs="Consolas" w:eastAsia="Consolas" w:hAnsi="Consolas"/>
          <w:color w:val="A33A3A"/>
          <w:sz w:val="14"/>
          <w:szCs w:val="14"/>
        </w:rPr>
        <w:t xml:space="preserve">↑ ABOVE: shared — appears in all 39 briefs  ·  id: how-to-read.p.9d2ae7b4</w:t>
      </w:r>
    </w:p>
    <w:p>
      <w:pPr>
        <w:spacing w:after="20" w:before="100"/>
      </w:pPr>
      <w:r>
        <w:rPr>
          <w:sz w:val="21"/>
          <w:szCs w:val="21"/>
        </w:rPr>
        <w:t xml:space="preserve">Tier 1 is Optimal, Tier 2 is Acceptable, Tier 3 is At-risk, and Tier 4 is Critical. These are definitional category names supplied by the tier framework; what a category means for any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how-to-read.p.012f30b9</w:t>
      </w:r>
    </w:p>
    <w:p>
      <w:pPr>
        <w:spacing w:after="20" w:before="100"/>
      </w:pPr>
      <w:r>
        <w:rPr>
          <w:sz w:val="21"/>
          <w:szCs w:val="21"/>
        </w:rPr>
        <w:t xml:space="preserve">A sector value is the unweighted mean over the locations in that sector. Every location counts equally, regardless of the people, acres, or acre-feet it represents.</w:t>
      </w:r>
    </w:p>
    <w:p>
      <w:pPr>
        <w:spacing w:after="40" w:before="40"/>
      </w:pPr>
      <w:r>
        <w:rPr>
          <w:rFonts w:ascii="Consolas" w:cs="Consolas" w:eastAsia="Consolas" w:hAnsi="Consolas"/>
          <w:color w:val="A33A3A"/>
          <w:sz w:val="14"/>
          <w:szCs w:val="14"/>
        </w:rPr>
        <w:t xml:space="preserve">↑ ABOVE: shared — appears in all 39 briefs  ·  id: how-to-read.p.594f2995</w:t>
      </w:r>
    </w:p>
    <w:p>
      <w:pPr>
        <w:spacing w:after="20" w:before="100"/>
      </w:pPr>
      <w:r>
        <w:rPr>
          <w:sz w:val="21"/>
          <w:szCs w:val="21"/>
        </w:rPr>
        <w:t xml:space="preserve">Any difference between two values under different hydroclimates contains both a hydroclimate effect and an operations effect; the two are separable only through the decomposition, because each is defined against its own reference. A strategy is compared with current operations under the same hydroclimate. Comparing one strategy with itself across hydroclimates is a different quantity: the hydroclimate effect plus the change in the operations effect.</w:t>
      </w:r>
    </w:p>
    <w:p>
      <w:pPr>
        <w:spacing w:after="40" w:before="40"/>
      </w:pPr>
      <w:r>
        <w:rPr>
          <w:rFonts w:ascii="Consolas" w:cs="Consolas" w:eastAsia="Consolas" w:hAnsi="Consolas"/>
          <w:color w:val="A33A3A"/>
          <w:sz w:val="14"/>
          <w:szCs w:val="14"/>
        </w:rPr>
        <w:t xml:space="preserve">↑ ABOVE: shared — appears in all 39 briefs  ·  id: how-to-read.p.aa51047b</w:t>
      </w:r>
    </w:p>
    <w:p>
      <w:pPr>
        <w:spacing w:after="20" w:before="100"/>
      </w:pPr>
      <w:r>
        <w:rPr>
          <w:sz w:val="21"/>
          <w:szCs w:val="21"/>
        </w:rPr>
        <w:t xml:space="preserve">One threshold governs every claim and every count here. A difference smaller than 0.1 tier units is not reported as movement, and a location is not counted as differing from its comparison. A tier is a summary built so that results in nine sectors with no shared unit can be compared, and 0.1 tier units is the finest reading it carries; a smaller difference is left unstated rather than described.</w:t>
      </w:r>
    </w:p>
    <w:p>
      <w:pPr>
        <w:spacing w:after="40" w:before="40"/>
      </w:pPr>
      <w:r>
        <w:rPr>
          <w:rFonts w:ascii="Consolas" w:cs="Consolas" w:eastAsia="Consolas" w:hAnsi="Consolas"/>
          <w:color w:val="A33A3A"/>
          <w:sz w:val="14"/>
          <w:szCs w:val="14"/>
        </w:rPr>
        <w:t xml:space="preserve">↑ ABOVE: shared — appears in all 39 briefs  ·  id: how-to-read.p.99ab9088</w:t>
      </w:r>
    </w:p>
    <w:p>
      <w:pPr>
        <w:spacing w:after="20" w:before="100"/>
      </w:pPr>
      <w:r>
        <w:rPr>
          <w:sz w:val="21"/>
          <w:szCs w:val="21"/>
        </w:rPr>
        <w:t xml:space="preserve">The five hydroclimates are a purposive sample of climate stress levels. They are not a sequence, a trend, or a forecast, they carry no probabilities, and no mean is taken over them.</w:t>
      </w:r>
    </w:p>
    <w:p>
      <w:pPr>
        <w:spacing w:after="40" w:before="40"/>
      </w:pPr>
      <w:r>
        <w:rPr>
          <w:rFonts w:ascii="Consolas" w:cs="Consolas" w:eastAsia="Consolas" w:hAnsi="Consolas"/>
          <w:color w:val="A33A3A"/>
          <w:sz w:val="14"/>
          <w:szCs w:val="14"/>
        </w:rPr>
        <w:t xml:space="preserve">↑ ABOVE: shared — appears in all 39 briefs  ·  id: how-to-read.p.dc2c7dcf</w:t>
      </w:r>
    </w:p>
    <w:p>
      <w:pPr>
        <w:spacing w:after="20" w:before="100"/>
      </w:pPr>
      <w:r>
        <w:rPr>
          <w:sz w:val="21"/>
          <w:szCs w:val="21"/>
        </w:rPr>
        <w:t xml:space="preserve">A run ID identifies one modeling run of one strategy under one hydroclimate. It is an internal identifier, used for citation and for tracing a value back to the data platform, not a name for the strategy; the public identity of a strategy is its descriptive name.</w:t>
      </w:r>
    </w:p>
    <w:p>
      <w:pPr>
        <w:spacing w:after="40" w:before="40"/>
      </w:pPr>
      <w:r>
        <w:rPr>
          <w:rFonts w:ascii="Consolas" w:cs="Consolas" w:eastAsia="Consolas" w:hAnsi="Consolas"/>
          <w:color w:val="A33A3A"/>
          <w:sz w:val="14"/>
          <w:szCs w:val="14"/>
        </w:rPr>
        <w:t xml:space="preserve">↑ ABOVE: shared — appears in all 39 briefs  ·  id: how-to-read.p.65917809</w:t>
      </w:r>
    </w:p>
    <w:p>
      <w:pPr>
        <w:spacing w:after="20" w:before="100"/>
      </w:pPr>
      <w:r>
        <w:rPr>
          <w:sz w:val="21"/>
          <w:szCs w:val="21"/>
        </w:rPr>
        <w:t xml:space="preserve">Tier values are reported to one decimal place throughout this brief — in the prose, in the figure and in the table. The tier scale does not carry meaning finer than that. Each effect shown is the difference between the floored values, except that an effect smaller than the 0.1 tier units this brief reports movement at is shown as 0.0, so a row containing one does not add up. Values are floored rather than rounded, so a printed value stays inside the band its own label names; full-precision values are in the machine-readable sidecar this brief is built from.</w:t>
      </w:r>
    </w:p>
    <w:p>
      <w:pPr>
        <w:spacing w:after="40" w:before="40"/>
      </w:pPr>
      <w:r>
        <w:rPr>
          <w:rFonts w:ascii="Consolas" w:cs="Consolas" w:eastAsia="Consolas" w:hAnsi="Consolas"/>
          <w:color w:val="A33A3A"/>
          <w:sz w:val="14"/>
          <w:szCs w:val="14"/>
        </w:rPr>
        <w:t xml:space="preserve">↑ ABOVE: shared — appears in all 39 briefs  ·  id: how-to-read.p.82cecf64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current-operations-with-historical-land-use</dc:title>
  <dc:creator>COEQWAL brief builder</dc:creator>
  <cp:lastModifiedBy>Un-named</cp:lastModifiedBy>
  <cp:revision>1</cp:revision>
  <dcterms:created xsi:type="dcterms:W3CDTF">2026-08-09T23:34:31.918Z</dcterms:created>
  <dcterms:modified xsi:type="dcterms:W3CDTF">2026-08-09T23:34:31.918Z</dcterms:modified>
</cp:coreProperties>
</file>

<file path=docProps/custom.xml><?xml version="1.0" encoding="utf-8"?>
<Properties xmlns="http://schemas.openxmlformats.org/officeDocument/2006/custom-properties" xmlns:vt="http://schemas.openxmlformats.org/officeDocument/2006/docPropsVTypes"/>
</file>