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Place results — oroville-loi. Generated from oroville-loi_dev.html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oroville-loi — 11 of its 84 blocks. Everything else it says is shared, and is edited in the full place results document. Each paragraph is shown under the section it belongs to.</w:t>
      </w:r>
    </w:p>
    <w:p>
      <w:pPr>
        <w:pStyle w:val="Heading1"/>
        <w:spacing w:after="60" w:before="240"/>
      </w:pPr>
      <w:r>
        <w:rPr>
          <w:sz w:val="34"/>
          <w:szCs w:val="34"/>
        </w:rPr>
        <w:t xml:space="preserve">Oroville Reservoir: modeled tier results across 23 management strategies and five hydroclimates</w:t>
      </w:r>
    </w:p>
    <w:p>
      <w:pPr>
        <w:spacing w:after="40" w:before="20"/>
      </w:pPr>
      <w:r>
        <w:rPr>
          <w:rFonts w:ascii="Consolas" w:cs="Consolas" w:eastAsia="Consolas" w:hAnsi="Consolas"/>
          <w:color w:val="767171"/>
          <w:sz w:val="14"/>
          <w:szCs w:val="14"/>
        </w:rPr>
        <w:t xml:space="preserve">↑ ABOVE: heading  ·  id: front.h1.239a8b0f</w:t>
      </w:r>
    </w:p>
    <w:p>
      <w:pPr>
        <w:spacing w:after="20" w:before="100"/>
      </w:pPr>
      <w:r>
        <w:rPr>
          <w:sz w:val="21"/>
          <w:szCs w:val="21"/>
        </w:rPr>
        <w:t xml:space="preserve">TL;DR. Compared with the baseline — current operations under the historical hydroclimate — modeled tier results at Oroville Reservoir differ from the baseline in all 23 management strategies under at least one hydroclimate. Reading each strategy under each hydroclimate as one result, 115 in all, the hydroclimate effect is the larger of the two in 74, the operations effect in 37, and neither is larger in the remaining 4. No minimum flow requirements is the clearest case of the two effects running opposite ways: under extreme climate stress the hydroclimate contributes +1.9 and the strategy −2.0, leaving no net difference from the baseline.</w:t>
      </w:r>
    </w:p>
    <w:p>
      <w:pPr>
        <w:spacing w:after="40" w:before="40"/>
      </w:pPr>
      <w:r>
        <w:rPr>
          <w:rFonts w:ascii="Consolas" w:cs="Consolas" w:eastAsia="Consolas" w:hAnsi="Consolas"/>
          <w:color w:val="767171"/>
          <w:sz w:val="14"/>
          <w:szCs w:val="14"/>
        </w:rPr>
        <w:t xml:space="preserve">↑ ABOVE: this brief only  ·  id: front.p.8bdd2094</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one place — Oroville Reservoir, the model node the data serves as Oroville in reservoir storage — under every management strategy in the ensemble, each simulated once under each of five hydroclimates. The selection rule is that there is none: this brief reports every management strategy these model runs carry a tier for, across all five modeled hydroclimates, and no filter is applied to either. All 23 management strategies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what-this-is.p.492ec44f</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23 strategies these runs report, the modeled tier value under the baseline — current operations under the historical hydroclimate — is 1.9, the same value for every row. Read across the five hydroclimates, the values this brief reports range from 1.5 to 4.3. Of the 115 results — one strategy under one hydroclimate — 83 sit in a different tier band from the baseline and 32 sit in the same band; in 21 of the 23 strategies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what-the-model-shows.p.9dd329ba</w:t>
      </w:r>
    </w:p>
    <w:p>
      <w:pPr>
        <w:pStyle w:val="Heading2"/>
        <w:spacing w:after="40" w:before="280"/>
      </w:pPr>
      <w:r>
        <w:rPr>
          <w:sz w:val="24"/>
          <w:szCs w:val="24"/>
        </w:rPr>
        <w:t xml:space="preserve">The baseline, and the two effects</w:t>
      </w:r>
    </w:p>
    <w:p>
      <w:pPr>
        <w:spacing w:after="60"/>
      </w:pPr>
      <w:r>
        <w:rPr>
          <w:rFonts w:ascii="Consolas" w:cs="Consolas" w:eastAsia="Consolas" w:hAnsi="Consolas"/>
          <w:color w:val="767171"/>
          <w:sz w:val="14"/>
          <w:szCs w:val="14"/>
        </w:rPr>
        <w:t xml:space="preserve">section id: decomposition — context only, not for editing</w:t>
      </w:r>
    </w:p>
    <w:p>
      <w:pPr>
        <w:spacing w:after="20" w:before="100"/>
      </w:pPr>
      <w:r>
        <w:rPr>
          <w:sz w:val="21"/>
          <w:szCs w:val="21"/>
        </w:rPr>
        <w:t xml:space="preserve">This brief reports one location, Oroville. Elsewhere in the set a sector’s tier value is the mean of the tier values at its locations; here there is a single location, so the value on this page is that location’s own and no averaging takes place. Every row is measured at that same place, so the rows differ only in which strategy produced the value. On the figure a square mark carries each value, which is the mark this set uses for a value that is not a mean over several locations.</w:t>
      </w:r>
    </w:p>
    <w:p>
      <w:pPr>
        <w:spacing w:after="40" w:before="40"/>
      </w:pPr>
      <w:r>
        <w:rPr>
          <w:rFonts w:ascii="Consolas" w:cs="Consolas" w:eastAsia="Consolas" w:hAnsi="Consolas"/>
          <w:color w:val="767171"/>
          <w:sz w:val="14"/>
          <w:szCs w:val="14"/>
        </w:rPr>
        <w:t xml:space="preserve">↑ ABOVE: this brief only  ·  id: decomposition.p.7e567377</w:t>
      </w:r>
    </w:p>
    <w:p>
      <w:pPr>
        <w:pStyle w:val="Heading2"/>
        <w:spacing w:after="40" w:before="280"/>
      </w:pPr>
      <w:r>
        <w:rPr>
          <w:sz w:val="24"/>
          <w:szCs w:val="24"/>
        </w:rPr>
        <w:t xml:space="preserve">Pattern across the set</w:t>
      </w:r>
    </w:p>
    <w:p>
      <w:pPr>
        <w:spacing w:after="60"/>
      </w:pPr>
      <w:r>
        <w:rPr>
          <w:rFonts w:ascii="Consolas" w:cs="Consolas" w:eastAsia="Consolas" w:hAnsi="Consolas"/>
          <w:color w:val="767171"/>
          <w:sz w:val="14"/>
          <w:szCs w:val="14"/>
        </w:rPr>
        <w:t xml:space="preserve">section id: pattern — context only, not for editing</w:t>
      </w:r>
    </w:p>
    <w:p>
      <w:pPr>
        <w:spacing w:after="20" w:before="100"/>
      </w:pPr>
      <w:r>
        <w:rPr>
          <w:sz w:val="21"/>
          <w:szCs w:val="21"/>
        </w:rPr>
        <w:t xml:space="preserve">Of those 23, 21 span more than one tier band across the five hydroclimates, and the widest spread between a row’s highest and lowest value is 2.1 tier units, at Delta Conveyance Project. Spread is reported beside the range it varies within and never on its own; no average over the five hydroclimates is taken, because the five are a sample of stress levels rather than a draw from a population of futures.</w:t>
      </w:r>
    </w:p>
    <w:p>
      <w:pPr>
        <w:spacing w:after="40" w:before="40"/>
      </w:pPr>
      <w:r>
        <w:rPr>
          <w:rFonts w:ascii="Consolas" w:cs="Consolas" w:eastAsia="Consolas" w:hAnsi="Consolas"/>
          <w:color w:val="767171"/>
          <w:sz w:val="14"/>
          <w:szCs w:val="14"/>
        </w:rPr>
        <w:t xml:space="preserve">↑ ABOVE: this brief only  ·  id: pattern.p.5189af53</w:t>
      </w:r>
    </w:p>
    <w:p>
      <w:pPr>
        <w:pStyle w:val="Heading2"/>
        <w:spacing w:after="40" w:before="280"/>
      </w:pPr>
      <w:r>
        <w:rPr>
          <w:sz w:val="24"/>
          <w:szCs w:val="24"/>
        </w:rPr>
        <w:t xml:space="preserve">About this place</w:t>
      </w:r>
    </w:p>
    <w:p>
      <w:pPr>
        <w:spacing w:after="60"/>
      </w:pPr>
      <w:r>
        <w:rPr>
          <w:rFonts w:ascii="Consolas" w:cs="Consolas" w:eastAsia="Consolas" w:hAnsi="Consolas"/>
          <w:color w:val="767171"/>
          <w:sz w:val="14"/>
          <w:szCs w:val="14"/>
        </w:rPr>
        <w:t xml:space="preserve">section id: about-the-subject — context only, not for editing</w:t>
      </w:r>
    </w:p>
    <w:p>
      <w:pPr>
        <w:spacing w:after="20" w:before="100"/>
      </w:pPr>
      <w:r>
        <w:rPr>
          <w:sz w:val="21"/>
          <w:szCs w:val="21"/>
        </w:rPr>
        <w:t xml:space="preserve">Oroville Reservoir sits on the Feather River in the Sierra Nevada foothills near the city of Oroville, north of Sacramento, behind Oroville Dam — the tallest dam in the United States. It is operated by the California Department of Water Resources as the principal storage reservoir of the State Water Project (SWP), with a total capacity of about 3,425 TAF. Its primary functions are water supply, flood control, hydropower, and flows for the lower Feather River.</w:t>
      </w:r>
    </w:p>
    <w:p>
      <w:pPr>
        <w:spacing w:after="40" w:before="40"/>
      </w:pPr>
      <w:r>
        <w:rPr>
          <w:rFonts w:ascii="Consolas" w:cs="Consolas" w:eastAsia="Consolas" w:hAnsi="Consolas"/>
          <w:color w:val="767171"/>
          <w:sz w:val="14"/>
          <w:szCs w:val="14"/>
        </w:rPr>
        <w:t xml:space="preserve">↑ ABOVE: this brief only  ·  id: about-the-subject.p.899bc18a</w:t>
      </w:r>
    </w:p>
    <w:p>
      <w:pPr>
        <w:spacing w:after="20" w:before="100"/>
      </w:pPr>
      <w:r>
        <w:rPr>
          <w:sz w:val="21"/>
          <w:szCs w:val="21"/>
        </w:rPr>
        <w:t xml:space="preserve">As the SWP's principal reservoir, Oroville captures Feather River runoff, and its end-of-month storage is the variable the model tracks here. Releases pass down the Feather River to the Sacramento River and the Delta, where SWP facilities deliver water to service sectors across the state — so storage at this reservoir shapes both statewide SWP supply and conditions in the lower Feather River.</w:t>
      </w:r>
    </w:p>
    <w:p>
      <w:pPr>
        <w:spacing w:after="40" w:before="40"/>
      </w:pPr>
      <w:r>
        <w:rPr>
          <w:rFonts w:ascii="Consolas" w:cs="Consolas" w:eastAsia="Consolas" w:hAnsi="Consolas"/>
          <w:color w:val="767171"/>
          <w:sz w:val="14"/>
          <w:szCs w:val="14"/>
        </w:rPr>
        <w:t xml:space="preserve">↑ ABOVE: this brief only  ·  id: about-the-subject.p.ff1d8832</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60"/>
        <w:ind w:left="360"/>
      </w:pPr>
      <w:r>
        <w:rPr>
          <w:sz w:val="21"/>
          <w:szCs w:val="21"/>
        </w:rPr>
        <w:t xml:space="preserve">— Oroville Reservoir — you are here</w:t>
      </w:r>
    </w:p>
    <w:p>
      <w:pPr>
        <w:spacing w:after="40" w:before="40"/>
      </w:pPr>
      <w:r>
        <w:rPr>
          <w:rFonts w:ascii="Consolas" w:cs="Consolas" w:eastAsia="Consolas" w:hAnsi="Consolas"/>
          <w:color w:val="767171"/>
          <w:sz w:val="14"/>
          <w:szCs w:val="14"/>
        </w:rPr>
        <w:t xml:space="preserve">↑ ABOVE: this brief only  ·  id: related-briefs.li.995a0bc5</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Companion data file: oroville-loi_schema1.json,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references.p.a2e9c64b</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Open Oroville Reservoir in the data explorer.</w:t>
      </w:r>
    </w:p>
    <w:p>
      <w:pPr>
        <w:spacing w:after="40" w:before="40"/>
      </w:pPr>
      <w:r>
        <w:rPr>
          <w:rFonts w:ascii="Consolas" w:cs="Consolas" w:eastAsia="Consolas" w:hAnsi="Consolas"/>
          <w:color w:val="767171"/>
          <w:sz w:val="14"/>
          <w:szCs w:val="14"/>
        </w:rPr>
        <w:t xml:space="preserve">↑ ABOVE: this brief only  ·  id: explore-further.p.ca76a3a4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oroville-loi</dc:title>
  <dc:creator>COEQWAL brief builder</dc:creator>
  <cp:lastModifiedBy>Un-named</cp:lastModifiedBy>
  <cp:revision>1</cp:revision>
  <dcterms:created xsi:type="dcterms:W3CDTF">2026-08-09T23:34:31.900Z</dcterms:created>
  <dcterms:modified xsi:type="dcterms:W3CDTF">2026-08-09T23:34:31.900Z</dcterms:modified>
</cp:coreProperties>
</file>

<file path=docProps/custom.xml><?xml version="1.0" encoding="utf-8"?>
<Properties xmlns="http://schemas.openxmlformats.org/officeDocument/2006/custom-properties" xmlns:vt="http://schemas.openxmlformats.org/officeDocument/2006/docPropsVTypes"/>
</file>