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onsolas" w:cs="Consolas" w:eastAsia="Consolas" w:hAnsi="Consolas"/>
          <w:color w:val="767171"/>
          <w:sz w:val="16"/>
          <w:szCs w:val="16"/>
        </w:rPr>
        <w:t xml:space="preserve">COEQWAL BRIEF — REVIEW COPY, ROUND 1 · rev b, share labels corrected 2026-08-08</w:t>
      </w:r>
    </w:p>
    <w:p>
      <w:pPr>
        <w:pBdr>
          <w:bottom w:val="single" w:color="CCCCCC" w:sz="6" w:space="6"/>
        </w:pBdr>
        <w:spacing w:after="160"/>
      </w:pPr>
      <w:r>
        <w:rPr>
          <w:i/>
          <w:iCs/>
          <w:color w:val="767171"/>
          <w:sz w:val="16"/>
          <w:szCs w:val="16"/>
        </w:rPr>
        <w:t xml:space="preserve">Place results — salt-slough-loi. Generated from salt-slough-loi_dev.html (build gen3e). Edit the prose freely; track changes are welcome but not required. Do not edit numbers — they are model output and are verified separately. Comment on them instead.</w:t>
      </w:r>
    </w:p>
    <w:p>
      <w:pPr>
        <w:shd w:fill="F2F1EE" w:val="clear"/>
        <w:spacing w:after="80" w:before="80"/>
      </w:pPr>
      <w:r>
        <w:rPr>
          <w:i/>
          <w:iCs/>
          <w:color w:val="333333"/>
          <w:sz w:val="16"/>
          <w:szCs w:val="16"/>
        </w:rPr>
        <w:t xml:space="preserve">This document holds ONLY the paragraphs unique to salt-slough-loi — 13 of its 84 blocks. Everything else it says is shared, and is edited in the full place results document. Each paragraph is shown under the section it belongs to.</w:t>
      </w:r>
    </w:p>
    <w:p>
      <w:pPr>
        <w:pStyle w:val="Heading1"/>
        <w:spacing w:after="60" w:before="240"/>
      </w:pPr>
      <w:r>
        <w:rPr>
          <w:sz w:val="34"/>
          <w:szCs w:val="34"/>
        </w:rPr>
        <w:t xml:space="preserve">San Joaquin River at Salt Slough: modeled tier results across 23 management strategies and five hydroclimates</w:t>
      </w:r>
    </w:p>
    <w:p>
      <w:pPr>
        <w:spacing w:after="40" w:before="20"/>
      </w:pPr>
      <w:r>
        <w:rPr>
          <w:rFonts w:ascii="Consolas" w:cs="Consolas" w:eastAsia="Consolas" w:hAnsi="Consolas"/>
          <w:color w:val="767171"/>
          <w:sz w:val="14"/>
          <w:szCs w:val="14"/>
        </w:rPr>
        <w:t xml:space="preserve">↑ ABOVE: heading  ·  id: front.h1.a5c3b6cb</w:t>
      </w:r>
    </w:p>
    <w:p>
      <w:pPr>
        <w:spacing w:after="20" w:before="100"/>
      </w:pPr>
      <w:r>
        <w:rPr>
          <w:sz w:val="21"/>
          <w:szCs w:val="21"/>
        </w:rPr>
        <w:t xml:space="preserve">TL;DR. Compared with the baseline — current operations under the historical hydroclimate — modeled tier results at San Joaquin River at Salt Slough differ from the baseline in all 23 management strategies under at least one hydroclimate. Reading each strategy under each hydroclimate as one result, 115 in all, the hydroclimate effect is the larger of the two in 46, the operations effect in 67, and neither is larger in the remaining 2. Functional environmental flows is the clearest case of the two effects running opposite ways: under extreme climate stress the hydroclimate contributes +0.2 and the strategy −2.6, leaving a difference from the baseline of −2.4.</w:t>
      </w:r>
    </w:p>
    <w:p>
      <w:pPr>
        <w:spacing w:after="40" w:before="40"/>
      </w:pPr>
      <w:r>
        <w:rPr>
          <w:rFonts w:ascii="Consolas" w:cs="Consolas" w:eastAsia="Consolas" w:hAnsi="Consolas"/>
          <w:color w:val="767171"/>
          <w:sz w:val="14"/>
          <w:szCs w:val="14"/>
        </w:rPr>
        <w:t xml:space="preserve">↑ ABOVE: this brief only  ·  id: front.p.129bc81b</w:t>
      </w:r>
    </w:p>
    <w:p>
      <w:pPr>
        <w:pStyle w:val="Heading2"/>
        <w:spacing w:after="40" w:before="280"/>
      </w:pPr>
      <w:r>
        <w:rPr>
          <w:sz w:val="24"/>
          <w:szCs w:val="24"/>
        </w:rPr>
        <w:t xml:space="preserve">What this is</w:t>
      </w:r>
    </w:p>
    <w:p>
      <w:pPr>
        <w:spacing w:after="60"/>
      </w:pPr>
      <w:r>
        <w:rPr>
          <w:rFonts w:ascii="Consolas" w:cs="Consolas" w:eastAsia="Consolas" w:hAnsi="Consolas"/>
          <w:color w:val="767171"/>
          <w:sz w:val="14"/>
          <w:szCs w:val="14"/>
        </w:rPr>
        <w:t xml:space="preserve">section id: what-this-is — context only, not for editing</w:t>
      </w:r>
    </w:p>
    <w:p>
      <w:pPr>
        <w:spacing w:after="20" w:before="100"/>
      </w:pPr>
      <w:r>
        <w:rPr>
          <w:sz w:val="21"/>
          <w:szCs w:val="21"/>
        </w:rPr>
        <w:t xml:space="preserve">This is a results brief: it reports the modeled tier results, and nothing else, for one place — San Joaquin River at Salt Slough, the model node the data serves as Confluence with Salt Slough in environmental flows — under every management strategy in the ensemble, each simulated once under each of five hydroclimates. The selection rule is that there is none: this brief reports every management strategy these model runs carry a tier for, across all five modeled hydroclimates, and no filter is applied to either. All 23 management strategies are reported under every hydroclimate. A scenario is a strategy paired with one hydroclimate; the five hydroclimates are a sample of stress levels, not a forecast of which will occur. For how the five were constructed, see the hydroclimates reference brief.</w:t>
      </w:r>
    </w:p>
    <w:p>
      <w:pPr>
        <w:spacing w:after="40" w:before="40"/>
      </w:pPr>
      <w:r>
        <w:rPr>
          <w:rFonts w:ascii="Consolas" w:cs="Consolas" w:eastAsia="Consolas" w:hAnsi="Consolas"/>
          <w:color w:val="767171"/>
          <w:sz w:val="14"/>
          <w:szCs w:val="14"/>
        </w:rPr>
        <w:t xml:space="preserve">↑ ABOVE: this brief only  ·  id: what-this-is.p.2908d5cf</w:t>
      </w:r>
    </w:p>
    <w:p>
      <w:pPr>
        <w:pStyle w:val="Heading2"/>
        <w:spacing w:after="40" w:before="280"/>
      </w:pPr>
      <w:r>
        <w:rPr>
          <w:sz w:val="24"/>
          <w:szCs w:val="24"/>
        </w:rPr>
        <w:t xml:space="preserve">What the model shows</w:t>
      </w:r>
    </w:p>
    <w:p>
      <w:pPr>
        <w:spacing w:after="60"/>
      </w:pPr>
      <w:r>
        <w:rPr>
          <w:rFonts w:ascii="Consolas" w:cs="Consolas" w:eastAsia="Consolas" w:hAnsi="Consolas"/>
          <w:color w:val="767171"/>
          <w:sz w:val="14"/>
          <w:szCs w:val="14"/>
        </w:rPr>
        <w:t xml:space="preserve">section id: what-the-model-shows — context only, not for editing</w:t>
      </w:r>
    </w:p>
    <w:p>
      <w:pPr>
        <w:spacing w:after="20" w:before="100"/>
      </w:pPr>
      <w:r>
        <w:rPr>
          <w:sz w:val="21"/>
          <w:szCs w:val="21"/>
        </w:rPr>
        <w:t xml:space="preserve">Across the 23 strategies these runs report, the modeled tier value under the baseline — current operations under the historical hydroclimate — is 4.7, the same value for every row. Read across the five hydroclimates, the values this brief reports range from 2.0 to 4.9. Of the 115 results — one strategy under one hydroclimate — 10 sit in a different tier band from the baseline and 105 sit in the same band; in every one of the 23 strategies the five values sit in one band.</w:t>
      </w:r>
    </w:p>
    <w:p>
      <w:pPr>
        <w:spacing w:after="40" w:before="40"/>
      </w:pPr>
      <w:r>
        <w:rPr>
          <w:rFonts w:ascii="Consolas" w:cs="Consolas" w:eastAsia="Consolas" w:hAnsi="Consolas"/>
          <w:color w:val="767171"/>
          <w:sz w:val="14"/>
          <w:szCs w:val="14"/>
        </w:rPr>
        <w:t xml:space="preserve">↑ ABOVE: this brief only  ·  id: what-the-model-shows.p.0cbd9dba</w:t>
      </w:r>
    </w:p>
    <w:p>
      <w:pPr>
        <w:pStyle w:val="Heading2"/>
        <w:spacing w:after="40" w:before="280"/>
      </w:pPr>
      <w:r>
        <w:rPr>
          <w:sz w:val="24"/>
          <w:szCs w:val="24"/>
        </w:rPr>
        <w:t xml:space="preserve">The baseline, and the two effects</w:t>
      </w:r>
    </w:p>
    <w:p>
      <w:pPr>
        <w:spacing w:after="60"/>
      </w:pPr>
      <w:r>
        <w:rPr>
          <w:rFonts w:ascii="Consolas" w:cs="Consolas" w:eastAsia="Consolas" w:hAnsi="Consolas"/>
          <w:color w:val="767171"/>
          <w:sz w:val="14"/>
          <w:szCs w:val="14"/>
        </w:rPr>
        <w:t xml:space="preserve">section id: decomposition — context only, not for editing</w:t>
      </w:r>
    </w:p>
    <w:p>
      <w:pPr>
        <w:spacing w:after="20" w:before="100"/>
      </w:pPr>
      <w:r>
        <w:rPr>
          <w:sz w:val="21"/>
          <w:szCs w:val="21"/>
        </w:rPr>
        <w:t xml:space="preserve">This brief reports one location, San Joaquin River at Salt Slough. Elsewhere in the set a sector’s tier value is the mean of the tier values at its locations; here there is a single location, so the value on this page is that location’s own and no averaging takes place. Every row is measured at that same place, so the rows differ only in which strategy produced the value. On the figure a square mark carries each value, which is the mark this set uses for a value that is not a mean over several locations.</w:t>
      </w:r>
    </w:p>
    <w:p>
      <w:pPr>
        <w:spacing w:after="40" w:before="40"/>
      </w:pPr>
      <w:r>
        <w:rPr>
          <w:rFonts w:ascii="Consolas" w:cs="Consolas" w:eastAsia="Consolas" w:hAnsi="Consolas"/>
          <w:color w:val="767171"/>
          <w:sz w:val="14"/>
          <w:szCs w:val="14"/>
        </w:rPr>
        <w:t xml:space="preserve">↑ ABOVE: this brief only  ·  id: decomposition.p.0307d85f</w:t>
      </w:r>
    </w:p>
    <w:p>
      <w:pPr>
        <w:pStyle w:val="Heading2"/>
        <w:spacing w:after="40" w:before="280"/>
      </w:pPr>
      <w:r>
        <w:rPr>
          <w:sz w:val="24"/>
          <w:szCs w:val="24"/>
        </w:rPr>
        <w:t xml:space="preserve">Pattern across the set</w:t>
      </w:r>
    </w:p>
    <w:p>
      <w:pPr>
        <w:spacing w:after="60"/>
      </w:pPr>
      <w:r>
        <w:rPr>
          <w:rFonts w:ascii="Consolas" w:cs="Consolas" w:eastAsia="Consolas" w:hAnsi="Consolas"/>
          <w:color w:val="767171"/>
          <w:sz w:val="14"/>
          <w:szCs w:val="14"/>
        </w:rPr>
        <w:t xml:space="preserve">section id: pattern — context only, not for editing</w:t>
      </w:r>
    </w:p>
    <w:p>
      <w:pPr>
        <w:spacing w:after="20" w:before="100"/>
      </w:pPr>
      <w:r>
        <w:rPr>
          <w:sz w:val="21"/>
          <w:szCs w:val="21"/>
        </w:rPr>
        <w:t xml:space="preserve">Read as a grid rather than row by row: of the 23 strategies reported here, 19 carry a difference from the baseline that does not reverse direction as the hydroclimate gets harder.</w:t>
      </w:r>
    </w:p>
    <w:p>
      <w:pPr>
        <w:spacing w:after="40" w:before="40"/>
      </w:pPr>
      <w:r>
        <w:rPr>
          <w:rFonts w:ascii="Consolas" w:cs="Consolas" w:eastAsia="Consolas" w:hAnsi="Consolas"/>
          <w:color w:val="767171"/>
          <w:sz w:val="14"/>
          <w:szCs w:val="14"/>
        </w:rPr>
        <w:t xml:space="preserve">↑ ABOVE: this brief only  ·  id: pattern.p.cd4f03bc</w:t>
      </w:r>
    </w:p>
    <w:p>
      <w:pPr>
        <w:spacing w:after="20" w:before="100"/>
      </w:pPr>
      <w:r>
        <w:rPr>
          <w:sz w:val="21"/>
          <w:szCs w:val="21"/>
        </w:rPr>
        <w:t xml:space="preserve">Of those 23, none spans more than one tier band across the five hydroclimates, and the widest spread between a row’s highest and lowest value is 0.3 tier units, at Groundwater pumping limits in the Central Valley. Spread is reported beside the range it varies within and never on its own; no average over the five hydroclimates is taken, because the five are a sample of stress levels rather than a draw from a population of futures.</w:t>
      </w:r>
    </w:p>
    <w:p>
      <w:pPr>
        <w:spacing w:after="40" w:before="40"/>
      </w:pPr>
      <w:r>
        <w:rPr>
          <w:rFonts w:ascii="Consolas" w:cs="Consolas" w:eastAsia="Consolas" w:hAnsi="Consolas"/>
          <w:color w:val="767171"/>
          <w:sz w:val="14"/>
          <w:szCs w:val="14"/>
        </w:rPr>
        <w:t xml:space="preserve">↑ ABOVE: this brief only  ·  id: pattern.p.46bfcea1</w:t>
      </w:r>
    </w:p>
    <w:p>
      <w:pPr>
        <w:pStyle w:val="Heading2"/>
        <w:spacing w:after="40" w:before="280"/>
      </w:pPr>
      <w:r>
        <w:rPr>
          <w:sz w:val="24"/>
          <w:szCs w:val="24"/>
        </w:rPr>
        <w:t xml:space="preserve">About this place</w:t>
      </w:r>
    </w:p>
    <w:p>
      <w:pPr>
        <w:spacing w:after="60"/>
      </w:pPr>
      <w:r>
        <w:rPr>
          <w:rFonts w:ascii="Consolas" w:cs="Consolas" w:eastAsia="Consolas" w:hAnsi="Consolas"/>
          <w:color w:val="767171"/>
          <w:sz w:val="14"/>
          <w:szCs w:val="14"/>
        </w:rPr>
        <w:t xml:space="preserve">section id: about-the-subject — context only, not for editing</w:t>
      </w:r>
    </w:p>
    <w:p>
      <w:pPr>
        <w:spacing w:after="20" w:before="100"/>
      </w:pPr>
      <w:r>
        <w:rPr>
          <w:sz w:val="21"/>
          <w:szCs w:val="21"/>
        </w:rPr>
        <w:t xml:space="preserve">This point sits on the San Joaquin River where Salt Slough joins it, in Merced County near the Fremont Ford crossing of State Route 140, upstream of the Merced River confluence. Salt Slough drains the northern part of the Grassland Ecological Sector — a large complex of managed wetlands, state and federal refuges, and private duck clubs on the valley floor — and returns water supplied to those wetlands to the river. Until 1996 the slough also carried subsurface agricultural drainage from the west side of the valley; the Grassland Bypass Project rerouted that drainage into a segment of the San Luis Drain and on to Mud Slough, which joins the San Joaquin River downstream of this point.</w:t>
      </w:r>
    </w:p>
    <w:p>
      <w:pPr>
        <w:spacing w:after="40" w:before="40"/>
      </w:pPr>
      <w:r>
        <w:rPr>
          <w:rFonts w:ascii="Consolas" w:cs="Consolas" w:eastAsia="Consolas" w:hAnsi="Consolas"/>
          <w:color w:val="767171"/>
          <w:sz w:val="14"/>
          <w:szCs w:val="14"/>
        </w:rPr>
        <w:t xml:space="preserve">↑ ABOVE: this brief only  ·  id: about-the-subject.p.aa975543</w:t>
      </w:r>
    </w:p>
    <w:p>
      <w:pPr>
        <w:spacing w:after="20" w:before="100"/>
      </w:pPr>
      <w:r>
        <w:rPr>
          <w:sz w:val="21"/>
          <w:szCs w:val="21"/>
        </w:rPr>
        <w:t xml:space="preserve">The model tracks how well flows at this point meet environmental flow targets. Flow here is what the upper San Joaquin basin releases, less what irrigation districts and wetland managers divert, plus what they and the eastside tributaries return — so conditions at this point carry operating choices made across the southern half of the Central Valley, and they set what arrives in the reach running on toward the Merced River and the Delta.</w:t>
      </w:r>
    </w:p>
    <w:p>
      <w:pPr>
        <w:spacing w:after="40" w:before="40"/>
      </w:pPr>
      <w:r>
        <w:rPr>
          <w:rFonts w:ascii="Consolas" w:cs="Consolas" w:eastAsia="Consolas" w:hAnsi="Consolas"/>
          <w:color w:val="767171"/>
          <w:sz w:val="14"/>
          <w:szCs w:val="14"/>
        </w:rPr>
        <w:t xml:space="preserve">↑ ABOVE: this brief only  ·  id: about-the-subject.p.9122de4e</w:t>
      </w:r>
    </w:p>
    <w:p>
      <w:pPr>
        <w:pStyle w:val="Heading2"/>
        <w:spacing w:after="40" w:before="280"/>
      </w:pPr>
      <w:r>
        <w:rPr>
          <w:sz w:val="24"/>
          <w:szCs w:val="24"/>
        </w:rPr>
        <w:t xml:space="preserve">Related briefs</w:t>
      </w:r>
    </w:p>
    <w:p>
      <w:pPr>
        <w:spacing w:after="60"/>
      </w:pPr>
      <w:r>
        <w:rPr>
          <w:rFonts w:ascii="Consolas" w:cs="Consolas" w:eastAsia="Consolas" w:hAnsi="Consolas"/>
          <w:color w:val="767171"/>
          <w:sz w:val="14"/>
          <w:szCs w:val="14"/>
        </w:rPr>
        <w:t xml:space="preserve">section id: related-briefs — context only, not for editing</w:t>
      </w:r>
    </w:p>
    <w:p>
      <w:pPr>
        <w:spacing w:after="20" w:before="60"/>
        <w:ind w:left="360"/>
      </w:pPr>
      <w:r>
        <w:rPr>
          <w:sz w:val="21"/>
          <w:szCs w:val="21"/>
        </w:rPr>
        <w:t xml:space="preserve">— San Joaquin River at Salt Slough — you are here</w:t>
      </w:r>
    </w:p>
    <w:p>
      <w:pPr>
        <w:spacing w:after="40" w:before="40"/>
      </w:pPr>
      <w:r>
        <w:rPr>
          <w:rFonts w:ascii="Consolas" w:cs="Consolas" w:eastAsia="Consolas" w:hAnsi="Consolas"/>
          <w:color w:val="767171"/>
          <w:sz w:val="14"/>
          <w:szCs w:val="14"/>
        </w:rPr>
        <w:t xml:space="preserve">↑ ABOVE: this brief only  ·  id: related-briefs.li.c6ac4e83</w:t>
      </w:r>
    </w:p>
    <w:p>
      <w:pPr>
        <w:pStyle w:val="Heading2"/>
        <w:spacing w:after="40" w:before="280"/>
      </w:pPr>
      <w:r>
        <w:rPr>
          <w:sz w:val="24"/>
          <w:szCs w:val="24"/>
        </w:rPr>
        <w:t xml:space="preserve">What this doesn’t say</w:t>
      </w:r>
    </w:p>
    <w:p>
      <w:pPr>
        <w:spacing w:after="60"/>
      </w:pPr>
      <w:r>
        <w:rPr>
          <w:rFonts w:ascii="Consolas" w:cs="Consolas" w:eastAsia="Consolas" w:hAnsi="Consolas"/>
          <w:color w:val="767171"/>
          <w:sz w:val="14"/>
          <w:szCs w:val="14"/>
        </w:rPr>
        <w:t xml:space="preserve">section id: what-this-doesnt-say — context only, not for editing</w:t>
      </w:r>
    </w:p>
    <w:p>
      <w:pPr>
        <w:spacing w:after="20" w:before="100"/>
      </w:pPr>
      <w:r>
        <w:rPr>
          <w:sz w:val="21"/>
          <w:szCs w:val="21"/>
        </w:rPr>
        <w:t xml:space="preserve">Extreme climate stress holds the single highest of a strategy’s five values in four of the 23 strategies reported here. In two the highest falls under a different hydroclimate. In 18 strategies (Current operations without TUCPs, Current USBR operations, Current USBR operations without TUCPs, Delta Conveyance Project, Functional environmental flows, Functional environmental flows with groundwater regulations, Groundwater pumping limits and reduced crop acreage in the Central Valley, Groundwater pumping limits and reduced crop acreage in the San Joaquin Valley, Increase Delta outflows (55% of unimpaired flow), Increase Delta outflows (65% of unimpaired flow), Increase Shasta carry-over storage, Maintain Delta outflows (45% of unimpaired flow), No minimum flow requirements, Prioritizing full demands of community water systems, Prioritizing human health delivery levels to community water systems, Reduce Delta outflows (35% of unimpaired flow), Relax Delta salinity standards, Salmon-friendly flows) the highest value is shared by more than one hydroclimate. So where a strategy’s highest value falls is not settled by construction.</w:t>
      </w:r>
    </w:p>
    <w:p>
      <w:pPr>
        <w:spacing w:after="40" w:before="40"/>
      </w:pPr>
      <w:r>
        <w:rPr>
          <w:rFonts w:ascii="Consolas" w:cs="Consolas" w:eastAsia="Consolas" w:hAnsi="Consolas"/>
          <w:color w:val="767171"/>
          <w:sz w:val="14"/>
          <w:szCs w:val="14"/>
        </w:rPr>
        <w:t xml:space="preserve">↑ ABOVE: this brief only  ·  id: what-this-doesnt-say.p.6918c13f</w:t>
      </w:r>
    </w:p>
    <w:p>
      <w:pPr>
        <w:pStyle w:val="Heading2"/>
        <w:spacing w:after="40" w:before="280"/>
      </w:pPr>
      <w:r>
        <w:rPr>
          <w:sz w:val="24"/>
          <w:szCs w:val="24"/>
        </w:rPr>
        <w:t xml:space="preserve">References, run identifiers and the build stamp</w:t>
      </w:r>
    </w:p>
    <w:p>
      <w:pPr>
        <w:spacing w:after="60"/>
      </w:pPr>
      <w:r>
        <w:rPr>
          <w:rFonts w:ascii="Consolas" w:cs="Consolas" w:eastAsia="Consolas" w:hAnsi="Consolas"/>
          <w:color w:val="767171"/>
          <w:sz w:val="14"/>
          <w:szCs w:val="14"/>
        </w:rPr>
        <w:t xml:space="preserve">section id: references — context only, not for editing</w:t>
      </w:r>
    </w:p>
    <w:p>
      <w:pPr>
        <w:spacing w:after="20" w:before="100"/>
      </w:pPr>
      <w:r>
        <w:rPr>
          <w:sz w:val="21"/>
          <w:szCs w:val="21"/>
        </w:rPr>
        <w:t xml:space="preserve">Companion data file: salt-slough-loi_schema1.json, holding every value in this brief plus the per-location counts, the spread measures, the derivation of every number in the prose and the figure’s declared attribute contract. Per-hydroclimate slices: Historical #/rows/*/by_hydroclimate/BL; Moderate #/rows/*/by_hydroclimate/HC4; Moderate-high #/rows/*/by_hydroclimate/HC1; High #/rows/*/by_hydroclimate/HC2; Extreme #/rows/*/by_hydroclimate/HC3. Built from the locked 2026-08-01 API snapshot (api.coeqwal.org v2.1.1 (locked dataset snapshot)). Decomposition per Decomposition_Math_Quickref (coeqwal-viz): the hydroclimate effect is current operations under that hydroclimate minus current operations under the historical hydroclimate; the operations effect is this strategy minus current operations under that same hydroclimate. Axis convention [1, 4.99] per Ordinal_vs_continuous_tiers.md; the visible band is floor(value). A difference of 0.1 tier units is required before a difference is reported as movement, before a location is counted as differing from its comparison, and before an effect prints as anything other than 0.0. Colour semantics (warm = hydroclimate, blue = operations) follow the ops-vs-climate stepper. Strategy identity is its descriptive name; run IDs appear only in this note and the data file.</w:t>
      </w:r>
    </w:p>
    <w:p>
      <w:pPr>
        <w:spacing w:after="40" w:before="40"/>
      </w:pPr>
      <w:r>
        <w:rPr>
          <w:rFonts w:ascii="Consolas" w:cs="Consolas" w:eastAsia="Consolas" w:hAnsi="Consolas"/>
          <w:color w:val="767171"/>
          <w:sz w:val="14"/>
          <w:szCs w:val="14"/>
        </w:rPr>
        <w:t xml:space="preserve">↑ ABOVE: this brief only  ·  id: references.p.6a6dab07</w:t>
      </w:r>
    </w:p>
    <w:p>
      <w:pPr>
        <w:pStyle w:val="Heading2"/>
        <w:spacing w:after="40" w:before="280"/>
      </w:pPr>
      <w:r>
        <w:rPr>
          <w:sz w:val="24"/>
          <w:szCs w:val="24"/>
        </w:rPr>
        <w:t xml:space="preserve">Explore further</w:t>
      </w:r>
    </w:p>
    <w:p>
      <w:pPr>
        <w:spacing w:after="60"/>
      </w:pPr>
      <w:r>
        <w:rPr>
          <w:rFonts w:ascii="Consolas" w:cs="Consolas" w:eastAsia="Consolas" w:hAnsi="Consolas"/>
          <w:color w:val="767171"/>
          <w:sz w:val="14"/>
          <w:szCs w:val="14"/>
        </w:rPr>
        <w:t xml:space="preserve">section id: explore-further — context only, not for editing</w:t>
      </w:r>
    </w:p>
    <w:p>
      <w:pPr>
        <w:spacing w:after="20" w:before="100"/>
      </w:pPr>
      <w:r>
        <w:rPr>
          <w:sz w:val="21"/>
          <w:szCs w:val="21"/>
        </w:rPr>
        <w:t xml:space="preserve">Open San Joaquin River at Salt Slough in the data explorer.</w:t>
      </w:r>
    </w:p>
    <w:p>
      <w:pPr>
        <w:spacing w:after="40" w:before="40"/>
      </w:pPr>
      <w:r>
        <w:rPr>
          <w:rFonts w:ascii="Consolas" w:cs="Consolas" w:eastAsia="Consolas" w:hAnsi="Consolas"/>
          <w:color w:val="767171"/>
          <w:sz w:val="14"/>
          <w:szCs w:val="14"/>
        </w:rPr>
        <w:t xml:space="preserve">↑ ABOVE: this brief only  ·  id: explore-further.p.4c224b74</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round 1 — salt-slough-loi</dc:title>
  <dc:creator>COEQWAL brief builder</dc:creator>
  <cp:lastModifiedBy>Un-named</cp:lastModifiedBy>
  <cp:revision>1</cp:revision>
  <dcterms:created xsi:type="dcterms:W3CDTF">2026-08-09T23:34:31.911Z</dcterms:created>
  <dcterms:modified xsi:type="dcterms:W3CDTF">2026-08-09T23:34:31.911Z</dcterms:modified>
</cp:coreProperties>
</file>

<file path=docProps/custom.xml><?xml version="1.0" encoding="utf-8"?>
<Properties xmlns="http://schemas.openxmlformats.org/officeDocument/2006/custom-properties" xmlns:vt="http://schemas.openxmlformats.org/officeDocument/2006/docPropsVTypes"/>
</file>