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767171"/>
          <w:sz w:val="16"/>
          <w:szCs w:val="16"/>
        </w:rPr>
        <w:t xml:space="preserve">COEQWAL BRIEF — REVIEW COPY, ROUND 1 · rev b, share labels corrected 2026-08-08</w:t>
      </w:r>
    </w:p>
    <w:p>
      <w:pPr>
        <w:pBdr>
          <w:bottom w:val="single" w:color="CCCCCC" w:sz="6" w:space="6"/>
        </w:pBdr>
        <w:spacing w:after="160"/>
      </w:pPr>
      <w:r>
        <w:rPr>
          <w:i/>
          <w:iCs/>
          <w:color w:val="767171"/>
          <w:sz w:val="16"/>
          <w:szCs w:val="16"/>
        </w:rPr>
        <w:t xml:space="preserve">Place results — trinity-lewiston-loi. Generated from trinity-lewiston-loi_dev.html (build gen3e). Edit the prose freely; track changes are welcome but not required. Do not edit numbers — they are model output and are verified separately. Comment on them instead.</w:t>
      </w:r>
    </w:p>
    <w:p>
      <w:pPr>
        <w:shd w:fill="F2F1EE" w:val="clear"/>
        <w:spacing w:after="80" w:before="80"/>
      </w:pPr>
      <w:r>
        <w:rPr>
          <w:i/>
          <w:iCs/>
          <w:color w:val="333333"/>
          <w:sz w:val="16"/>
          <w:szCs w:val="16"/>
        </w:rPr>
        <w:t xml:space="preserve">This document holds ONLY the paragraphs unique to trinity-lewiston-loi — 13 of its 84 blocks. Everything else it says is shared, and is edited in the full place results document. Each paragraph is shown under the section it belongs to.</w:t>
      </w:r>
    </w:p>
    <w:p>
      <w:pPr>
        <w:pStyle w:val="Heading1"/>
        <w:spacing w:after="60" w:before="240"/>
      </w:pPr>
      <w:r>
        <w:rPr>
          <w:sz w:val="34"/>
          <w:szCs w:val="34"/>
        </w:rPr>
        <w:t xml:space="preserve">Trinity River at Lewiston: modeled tier results across 23 management strategies and five hydroclimates</w:t>
      </w:r>
    </w:p>
    <w:p>
      <w:pPr>
        <w:spacing w:after="40" w:before="20"/>
      </w:pPr>
      <w:r>
        <w:rPr>
          <w:rFonts w:ascii="Consolas" w:cs="Consolas" w:eastAsia="Consolas" w:hAnsi="Consolas"/>
          <w:color w:val="767171"/>
          <w:sz w:val="14"/>
          <w:szCs w:val="14"/>
        </w:rPr>
        <w:t xml:space="preserve">↑ ABOVE: heading  ·  id: front.h1.eb0a0f17</w:t>
      </w:r>
    </w:p>
    <w:p>
      <w:pPr>
        <w:spacing w:after="20" w:before="100"/>
      </w:pPr>
      <w:r>
        <w:rPr>
          <w:sz w:val="21"/>
          <w:szCs w:val="21"/>
        </w:rPr>
        <w:t xml:space="preserve">TL;DR. Compared with the baseline — current operations under the historical hydroclimate — modeled tier results at Trinity River at Lewiston differ from the baseline in all 23 management strategies under at least one hydroclimate. Reading each strategy under each hydroclimate as one result, 115 in all, the hydroclimate effect is the larger of the two in 44, the operations effect in 62, and neither is larger in the remaining 9. Functional environmental flows is the clearest case of the two effects running opposite ways: under extreme climate stress the hydroclimate contributes +1.3 and the strategy −2.2, leaving a difference from the baseline of −0.9.</w:t>
      </w:r>
    </w:p>
    <w:p>
      <w:pPr>
        <w:spacing w:after="40" w:before="40"/>
      </w:pPr>
      <w:r>
        <w:rPr>
          <w:rFonts w:ascii="Consolas" w:cs="Consolas" w:eastAsia="Consolas" w:hAnsi="Consolas"/>
          <w:color w:val="767171"/>
          <w:sz w:val="14"/>
          <w:szCs w:val="14"/>
        </w:rPr>
        <w:t xml:space="preserve">↑ ABOVE: this brief only  ·  id: front.p.08f349fa</w:t>
      </w:r>
    </w:p>
    <w:p>
      <w:pPr>
        <w:pStyle w:val="Heading2"/>
        <w:spacing w:after="40" w:before="280"/>
      </w:pPr>
      <w:r>
        <w:rPr>
          <w:sz w:val="24"/>
          <w:szCs w:val="24"/>
        </w:rPr>
        <w:t xml:space="preserve">What this is</w:t>
      </w:r>
    </w:p>
    <w:p>
      <w:pPr>
        <w:spacing w:after="60"/>
      </w:pPr>
      <w:r>
        <w:rPr>
          <w:rFonts w:ascii="Consolas" w:cs="Consolas" w:eastAsia="Consolas" w:hAnsi="Consolas"/>
          <w:color w:val="767171"/>
          <w:sz w:val="14"/>
          <w:szCs w:val="14"/>
        </w:rPr>
        <w:t xml:space="preserve">section id: what-this-is — context only, not for editing</w:t>
      </w:r>
    </w:p>
    <w:p>
      <w:pPr>
        <w:spacing w:after="20" w:before="100"/>
      </w:pPr>
      <w:r>
        <w:rPr>
          <w:sz w:val="21"/>
          <w:szCs w:val="21"/>
        </w:rPr>
        <w:t xml:space="preserve">This is a results brief: it reports the modeled tier results, and nothing else, for one place — Trinity River at Lewiston, the model node the data serves as Trinity River at Lewiston in environmental flows — under every management strategy in the ensemble, each simulated once under each of five hydroclimates. The selection rule is that there is none: this brief reports every management strategy these model runs carry a tier for, across all five modeled hydroclimates, and no filter is applied to either. All 23 management strategies are reported under every hydroclimate. A scenario is a strategy paired with one hydroclimate; the five hydroclimates are a sample of stress levels, not a forecast of which will occur. For how the five were constructed, see the hydroclimates reference brief.</w:t>
      </w:r>
    </w:p>
    <w:p>
      <w:pPr>
        <w:spacing w:after="40" w:before="40"/>
      </w:pPr>
      <w:r>
        <w:rPr>
          <w:rFonts w:ascii="Consolas" w:cs="Consolas" w:eastAsia="Consolas" w:hAnsi="Consolas"/>
          <w:color w:val="767171"/>
          <w:sz w:val="14"/>
          <w:szCs w:val="14"/>
        </w:rPr>
        <w:t xml:space="preserve">↑ ABOVE: this brief only  ·  id: what-this-is.p.f0466522</w:t>
      </w:r>
    </w:p>
    <w:p>
      <w:pPr>
        <w:pStyle w:val="Heading2"/>
        <w:spacing w:after="40" w:before="280"/>
      </w:pPr>
      <w:r>
        <w:rPr>
          <w:sz w:val="24"/>
          <w:szCs w:val="24"/>
        </w:rPr>
        <w:t xml:space="preserve">What the model shows</w:t>
      </w:r>
    </w:p>
    <w:p>
      <w:pPr>
        <w:spacing w:after="60"/>
      </w:pPr>
      <w:r>
        <w:rPr>
          <w:rFonts w:ascii="Consolas" w:cs="Consolas" w:eastAsia="Consolas" w:hAnsi="Consolas"/>
          <w:color w:val="767171"/>
          <w:sz w:val="14"/>
          <w:szCs w:val="14"/>
        </w:rPr>
        <w:t xml:space="preserve">section id: what-the-model-shows — context only, not for editing</w:t>
      </w:r>
    </w:p>
    <w:p>
      <w:pPr>
        <w:spacing w:after="20" w:before="100"/>
      </w:pPr>
      <w:r>
        <w:rPr>
          <w:sz w:val="21"/>
          <w:szCs w:val="21"/>
        </w:rPr>
        <w:t xml:space="preserve">Across the 23 strategies these runs report, the modeled tier value under the baseline — current operations under the historical hydroclimate — is 3.2, the same value for every row. Read across the five hydroclimates, the values this brief reports range from 1.3 to 4.9. Of the 115 results — one strategy under one hydroclimate — 104 sit in a different tier band from the baseline and 11 sit in the same band; in seven of the 23 strategies the five values do not all sit in one band.</w:t>
      </w:r>
    </w:p>
    <w:p>
      <w:pPr>
        <w:spacing w:after="40" w:before="40"/>
      </w:pPr>
      <w:r>
        <w:rPr>
          <w:rFonts w:ascii="Consolas" w:cs="Consolas" w:eastAsia="Consolas" w:hAnsi="Consolas"/>
          <w:color w:val="767171"/>
          <w:sz w:val="14"/>
          <w:szCs w:val="14"/>
        </w:rPr>
        <w:t xml:space="preserve">↑ ABOVE: this brief only  ·  id: what-the-model-shows.p.b8db1834</w:t>
      </w:r>
    </w:p>
    <w:p>
      <w:pPr>
        <w:pStyle w:val="Heading2"/>
        <w:spacing w:after="40" w:before="280"/>
      </w:pPr>
      <w:r>
        <w:rPr>
          <w:sz w:val="24"/>
          <w:szCs w:val="24"/>
        </w:rPr>
        <w:t xml:space="preserve">The baseline, and the two effects</w:t>
      </w:r>
    </w:p>
    <w:p>
      <w:pPr>
        <w:spacing w:after="60"/>
      </w:pPr>
      <w:r>
        <w:rPr>
          <w:rFonts w:ascii="Consolas" w:cs="Consolas" w:eastAsia="Consolas" w:hAnsi="Consolas"/>
          <w:color w:val="767171"/>
          <w:sz w:val="14"/>
          <w:szCs w:val="14"/>
        </w:rPr>
        <w:t xml:space="preserve">section id: decomposition — context only, not for editing</w:t>
      </w:r>
    </w:p>
    <w:p>
      <w:pPr>
        <w:spacing w:after="20" w:before="100"/>
      </w:pPr>
      <w:r>
        <w:rPr>
          <w:sz w:val="21"/>
          <w:szCs w:val="21"/>
        </w:rPr>
        <w:t xml:space="preserve">This brief reports one location, Trinity River at Lewiston. Elsewhere in the set a sector’s tier value is the mean of the tier values at its locations; here there is a single location, so the value on this page is that location’s own and no averaging takes place. Every row is measured at that same place, so the rows differ only in which strategy produced the value. On the figure a square mark carries each value, which is the mark this set uses for a value that is not a mean over several locations.</w:t>
      </w:r>
    </w:p>
    <w:p>
      <w:pPr>
        <w:spacing w:after="40" w:before="40"/>
      </w:pPr>
      <w:r>
        <w:rPr>
          <w:rFonts w:ascii="Consolas" w:cs="Consolas" w:eastAsia="Consolas" w:hAnsi="Consolas"/>
          <w:color w:val="767171"/>
          <w:sz w:val="14"/>
          <w:szCs w:val="14"/>
        </w:rPr>
        <w:t xml:space="preserve">↑ ABOVE: this brief only  ·  id: decomposition.p.961e258a</w:t>
      </w:r>
    </w:p>
    <w:p>
      <w:pPr>
        <w:pStyle w:val="Heading2"/>
        <w:spacing w:after="40" w:before="280"/>
      </w:pPr>
      <w:r>
        <w:rPr>
          <w:sz w:val="24"/>
          <w:szCs w:val="24"/>
        </w:rPr>
        <w:t xml:space="preserve">Pattern across the set</w:t>
      </w:r>
    </w:p>
    <w:p>
      <w:pPr>
        <w:spacing w:after="60"/>
      </w:pPr>
      <w:r>
        <w:rPr>
          <w:rFonts w:ascii="Consolas" w:cs="Consolas" w:eastAsia="Consolas" w:hAnsi="Consolas"/>
          <w:color w:val="767171"/>
          <w:sz w:val="14"/>
          <w:szCs w:val="14"/>
        </w:rPr>
        <w:t xml:space="preserve">section id: pattern — context only, not for editing</w:t>
      </w:r>
    </w:p>
    <w:p>
      <w:pPr>
        <w:spacing w:after="20" w:before="100"/>
      </w:pPr>
      <w:r>
        <w:rPr>
          <w:sz w:val="21"/>
          <w:szCs w:val="21"/>
        </w:rPr>
        <w:t xml:space="preserve">Read as a grid rather than row by row: of the 23 strategies reported here, 17 carry a difference from the baseline that does not reverse direction as the hydroclimate gets harder.</w:t>
      </w:r>
    </w:p>
    <w:p>
      <w:pPr>
        <w:spacing w:after="40" w:before="40"/>
      </w:pPr>
      <w:r>
        <w:rPr>
          <w:rFonts w:ascii="Consolas" w:cs="Consolas" w:eastAsia="Consolas" w:hAnsi="Consolas"/>
          <w:color w:val="767171"/>
          <w:sz w:val="14"/>
          <w:szCs w:val="14"/>
        </w:rPr>
        <w:t xml:space="preserve">↑ ABOVE: this brief only  ·  id: pattern.p.80216763</w:t>
      </w:r>
    </w:p>
    <w:p>
      <w:pPr>
        <w:spacing w:after="20" w:before="100"/>
      </w:pPr>
      <w:r>
        <w:rPr>
          <w:sz w:val="21"/>
          <w:szCs w:val="21"/>
        </w:rPr>
        <w:t xml:space="preserve">Of those 23, seven span more than one tier band across the five hydroclimates, and the widest spread between a row’s highest and lowest value is 1.3 tier units, at Current USBR operations. Spread is reported beside the range it varies within and never on its own; no average over the five hydroclimates is taken, because the five are a sample of stress levels rather than a draw from a population of futures.</w:t>
      </w:r>
    </w:p>
    <w:p>
      <w:pPr>
        <w:spacing w:after="40" w:before="40"/>
      </w:pPr>
      <w:r>
        <w:rPr>
          <w:rFonts w:ascii="Consolas" w:cs="Consolas" w:eastAsia="Consolas" w:hAnsi="Consolas"/>
          <w:color w:val="767171"/>
          <w:sz w:val="14"/>
          <w:szCs w:val="14"/>
        </w:rPr>
        <w:t xml:space="preserve">↑ ABOVE: this brief only  ·  id: pattern.p.4a36b8cb</w:t>
      </w:r>
    </w:p>
    <w:p>
      <w:pPr>
        <w:pStyle w:val="Heading2"/>
        <w:spacing w:after="40" w:before="280"/>
      </w:pPr>
      <w:r>
        <w:rPr>
          <w:sz w:val="24"/>
          <w:szCs w:val="24"/>
        </w:rPr>
        <w:t xml:space="preserve">About this place</w:t>
      </w:r>
    </w:p>
    <w:p>
      <w:pPr>
        <w:spacing w:after="60"/>
      </w:pPr>
      <w:r>
        <w:rPr>
          <w:rFonts w:ascii="Consolas" w:cs="Consolas" w:eastAsia="Consolas" w:hAnsi="Consolas"/>
          <w:color w:val="767171"/>
          <w:sz w:val="14"/>
          <w:szCs w:val="14"/>
        </w:rPr>
        <w:t xml:space="preserve">section id: about-the-subject — context only, not for editing</w:t>
      </w:r>
    </w:p>
    <w:p>
      <w:pPr>
        <w:spacing w:after="20" w:before="100"/>
      </w:pPr>
      <w:r>
        <w:rPr>
          <w:sz w:val="21"/>
          <w:szCs w:val="21"/>
        </w:rPr>
        <w:t xml:space="preserve">This point sits on the Trinity River immediately below Lewiston Dam, in Trinity County in northwestern California. Lewiston Dam is where the Central Valley Project splits the Trinity's water: releases continue down the Trinity River toward the Klamath, while diversions pass through tunnels into the Sacramento River basin for CVP use. Flows below the dam are managed under the Trinity River Restoration Program, whose schedules vary by water-year type to support salmon and steelhead recovery.</w:t>
      </w:r>
    </w:p>
    <w:p>
      <w:pPr>
        <w:spacing w:after="40" w:before="40"/>
      </w:pPr>
      <w:r>
        <w:rPr>
          <w:rFonts w:ascii="Consolas" w:cs="Consolas" w:eastAsia="Consolas" w:hAnsi="Consolas"/>
          <w:color w:val="767171"/>
          <w:sz w:val="14"/>
          <w:szCs w:val="14"/>
        </w:rPr>
        <w:t xml:space="preserve">↑ ABOVE: this brief only  ·  id: about-the-subject.p.89bd48cd</w:t>
      </w:r>
    </w:p>
    <w:p>
      <w:pPr>
        <w:spacing w:after="20" w:before="100"/>
      </w:pPr>
      <w:r>
        <w:rPr>
          <w:sz w:val="21"/>
          <w:szCs w:val="21"/>
        </w:rPr>
        <w:t xml:space="preserve">The model tracks how well flows at this point meet environmental flow targets. Because every acre-foot released here is an acre-foot not diverted to the Central Valley, conditions at this point sit at the heart of a trans-basin trade-off between Trinity-Klamath river health and CVP water supply — which is why operating strategy matters strongly at this location.</w:t>
      </w:r>
    </w:p>
    <w:p>
      <w:pPr>
        <w:spacing w:after="40" w:before="40"/>
      </w:pPr>
      <w:r>
        <w:rPr>
          <w:rFonts w:ascii="Consolas" w:cs="Consolas" w:eastAsia="Consolas" w:hAnsi="Consolas"/>
          <w:color w:val="767171"/>
          <w:sz w:val="14"/>
          <w:szCs w:val="14"/>
        </w:rPr>
        <w:t xml:space="preserve">↑ ABOVE: this brief only  ·  id: about-the-subject.p.9680e047</w:t>
      </w:r>
    </w:p>
    <w:p>
      <w:pPr>
        <w:pStyle w:val="Heading2"/>
        <w:spacing w:after="40" w:before="280"/>
      </w:pPr>
      <w:r>
        <w:rPr>
          <w:sz w:val="24"/>
          <w:szCs w:val="24"/>
        </w:rPr>
        <w:t xml:space="preserve">Related briefs</w:t>
      </w:r>
    </w:p>
    <w:p>
      <w:pPr>
        <w:spacing w:after="60"/>
      </w:pPr>
      <w:r>
        <w:rPr>
          <w:rFonts w:ascii="Consolas" w:cs="Consolas" w:eastAsia="Consolas" w:hAnsi="Consolas"/>
          <w:color w:val="767171"/>
          <w:sz w:val="14"/>
          <w:szCs w:val="14"/>
        </w:rPr>
        <w:t xml:space="preserve">section id: related-briefs — context only, not for editing</w:t>
      </w:r>
    </w:p>
    <w:p>
      <w:pPr>
        <w:spacing w:after="20" w:before="60"/>
        <w:ind w:left="360"/>
      </w:pPr>
      <w:r>
        <w:rPr>
          <w:sz w:val="21"/>
          <w:szCs w:val="21"/>
        </w:rPr>
        <w:t xml:space="preserve">— Trinity River at Lewiston — you are here</w:t>
      </w:r>
    </w:p>
    <w:p>
      <w:pPr>
        <w:spacing w:after="40" w:before="40"/>
      </w:pPr>
      <w:r>
        <w:rPr>
          <w:rFonts w:ascii="Consolas" w:cs="Consolas" w:eastAsia="Consolas" w:hAnsi="Consolas"/>
          <w:color w:val="767171"/>
          <w:sz w:val="14"/>
          <w:szCs w:val="14"/>
        </w:rPr>
        <w:t xml:space="preserve">↑ ABOVE: this brief only  ·  id: related-briefs.li.f9028559</w:t>
      </w:r>
    </w:p>
    <w:p>
      <w:pPr>
        <w:pStyle w:val="Heading2"/>
        <w:spacing w:after="40" w:before="280"/>
      </w:pPr>
      <w:r>
        <w:rPr>
          <w:sz w:val="24"/>
          <w:szCs w:val="24"/>
        </w:rPr>
        <w:t xml:space="preserve">What this doesn’t say</w:t>
      </w:r>
    </w:p>
    <w:p>
      <w:pPr>
        <w:spacing w:after="60"/>
      </w:pPr>
      <w:r>
        <w:rPr>
          <w:rFonts w:ascii="Consolas" w:cs="Consolas" w:eastAsia="Consolas" w:hAnsi="Consolas"/>
          <w:color w:val="767171"/>
          <w:sz w:val="14"/>
          <w:szCs w:val="14"/>
        </w:rPr>
        <w:t xml:space="preserve">section id: what-this-doesnt-say — context only, not for editing</w:t>
      </w:r>
    </w:p>
    <w:p>
      <w:pPr>
        <w:spacing w:after="20" w:before="100"/>
      </w:pPr>
      <w:r>
        <w:rPr>
          <w:sz w:val="21"/>
          <w:szCs w:val="21"/>
        </w:rPr>
        <w:t xml:space="preserve">Extreme climate stress holds the single highest of a strategy’s five values in 22 of the 23 strategies reported here. In one strategies (No minimum flow requirements) the highest value is shared by more than one hydroclimate.</w:t>
      </w:r>
    </w:p>
    <w:p>
      <w:pPr>
        <w:spacing w:after="40" w:before="40"/>
      </w:pPr>
      <w:r>
        <w:rPr>
          <w:rFonts w:ascii="Consolas" w:cs="Consolas" w:eastAsia="Consolas" w:hAnsi="Consolas"/>
          <w:color w:val="767171"/>
          <w:sz w:val="14"/>
          <w:szCs w:val="14"/>
        </w:rPr>
        <w:t xml:space="preserve">↑ ABOVE: this brief only  ·  id: what-this-doesnt-say.p.ee2ea354</w:t>
      </w:r>
    </w:p>
    <w:p>
      <w:pPr>
        <w:pStyle w:val="Heading2"/>
        <w:spacing w:after="40" w:before="280"/>
      </w:pPr>
      <w:r>
        <w:rPr>
          <w:sz w:val="24"/>
          <w:szCs w:val="24"/>
        </w:rPr>
        <w:t xml:space="preserve">References, run identifiers and the build stamp</w:t>
      </w:r>
    </w:p>
    <w:p>
      <w:pPr>
        <w:spacing w:after="60"/>
      </w:pPr>
      <w:r>
        <w:rPr>
          <w:rFonts w:ascii="Consolas" w:cs="Consolas" w:eastAsia="Consolas" w:hAnsi="Consolas"/>
          <w:color w:val="767171"/>
          <w:sz w:val="14"/>
          <w:szCs w:val="14"/>
        </w:rPr>
        <w:t xml:space="preserve">section id: references — context only, not for editing</w:t>
      </w:r>
    </w:p>
    <w:p>
      <w:pPr>
        <w:spacing w:after="20" w:before="100"/>
      </w:pPr>
      <w:r>
        <w:rPr>
          <w:sz w:val="21"/>
          <w:szCs w:val="21"/>
        </w:rPr>
        <w:t xml:space="preserve">Companion data file: trinity-lewiston-loi_schema1.json, holding every value in this brief plus the per-location counts, the spread measures, the derivation of every number in the prose and the figure’s declared attribute contract. Per-hydroclimate slices: Historical #/rows/*/by_hydroclimate/BL; Moderate #/rows/*/by_hydroclimate/HC4; Moderate-high #/rows/*/by_hydroclimate/HC1; High #/rows/*/by_hydroclimate/HC2; Extreme #/rows/*/by_hydroclimate/HC3. Built from the locked 2026-08-01 API snapshot (api.coeqwal.org v2.1.1 (locked dataset snapshot)). Decomposition per Decomposition_Math_Quickref (coeqwal-viz): the hydroclimate effect is current operations under that hydroclimate minus current operations under the historical hydroclimate; the operations effect is this strategy minus current operations under that same hydroclimate. Axis convention [1, 4.99] per Ordinal_vs_continuous_tiers.md; the visible band is floor(value). A difference of 0.1 tier units is required before a difference is reported as movement, before a location is counted as differing from its comparison, and before an effect prints as anything other than 0.0. Colour semantics (warm = hydroclimate, blue = operations) follow the ops-vs-climate stepper. Strategy identity is its descriptive name; run IDs appear only in this note and the data file.</w:t>
      </w:r>
    </w:p>
    <w:p>
      <w:pPr>
        <w:spacing w:after="40" w:before="40"/>
      </w:pPr>
      <w:r>
        <w:rPr>
          <w:rFonts w:ascii="Consolas" w:cs="Consolas" w:eastAsia="Consolas" w:hAnsi="Consolas"/>
          <w:color w:val="767171"/>
          <w:sz w:val="14"/>
          <w:szCs w:val="14"/>
        </w:rPr>
        <w:t xml:space="preserve">↑ ABOVE: this brief only  ·  id: references.p.06b36dd9</w:t>
      </w:r>
    </w:p>
    <w:p>
      <w:pPr>
        <w:pStyle w:val="Heading2"/>
        <w:spacing w:after="40" w:before="280"/>
      </w:pPr>
      <w:r>
        <w:rPr>
          <w:sz w:val="24"/>
          <w:szCs w:val="24"/>
        </w:rPr>
        <w:t xml:space="preserve">Explore further</w:t>
      </w:r>
    </w:p>
    <w:p>
      <w:pPr>
        <w:spacing w:after="60"/>
      </w:pPr>
      <w:r>
        <w:rPr>
          <w:rFonts w:ascii="Consolas" w:cs="Consolas" w:eastAsia="Consolas" w:hAnsi="Consolas"/>
          <w:color w:val="767171"/>
          <w:sz w:val="14"/>
          <w:szCs w:val="14"/>
        </w:rPr>
        <w:t xml:space="preserve">section id: explore-further — context only, not for editing</w:t>
      </w:r>
    </w:p>
    <w:p>
      <w:pPr>
        <w:spacing w:after="20" w:before="100"/>
      </w:pPr>
      <w:r>
        <w:rPr>
          <w:sz w:val="21"/>
          <w:szCs w:val="21"/>
        </w:rPr>
        <w:t xml:space="preserve">Open Trinity River at Lewiston in the data explorer.</w:t>
      </w:r>
    </w:p>
    <w:p>
      <w:pPr>
        <w:spacing w:after="40" w:before="40"/>
      </w:pPr>
      <w:r>
        <w:rPr>
          <w:rFonts w:ascii="Consolas" w:cs="Consolas" w:eastAsia="Consolas" w:hAnsi="Consolas"/>
          <w:color w:val="767171"/>
          <w:sz w:val="14"/>
          <w:szCs w:val="14"/>
        </w:rPr>
        <w:t xml:space="preserve">↑ ABOVE: this brief only  ·  id: explore-further.p.9ee42f94</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round 1 — trinity-lewiston-loi</dc:title>
  <dc:creator>COEQWAL brief builder</dc:creator>
  <cp:lastModifiedBy>Un-named</cp:lastModifiedBy>
  <cp:revision>1</cp:revision>
  <dcterms:created xsi:type="dcterms:W3CDTF">2026-08-09T23:34:32.114Z</dcterms:created>
  <dcterms:modified xsi:type="dcterms:W3CDTF">2026-08-09T23:34:32.114Z</dcterms:modified>
</cp:coreProperties>
</file>

<file path=docProps/custom.xml><?xml version="1.0" encoding="utf-8"?>
<Properties xmlns="http://schemas.openxmlformats.org/officeDocument/2006/custom-properties" xmlns:vt="http://schemas.openxmlformats.org/officeDocument/2006/docPropsVTypes"/>
</file>