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Place results — yuba-marysville-loi. Generated from yuba-marysville-loi_dev.html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yuba-marysville-loi — 13 of its 84 blocks. Everything else it says is shared, and is edited in the full place results document. Each paragraph is shown under the section it belongs to.</w:t>
      </w:r>
    </w:p>
    <w:p>
      <w:pPr>
        <w:pStyle w:val="Heading1"/>
        <w:spacing w:after="60" w:before="240"/>
      </w:pPr>
      <w:r>
        <w:rPr>
          <w:sz w:val="34"/>
          <w:szCs w:val="34"/>
        </w:rPr>
        <w:t xml:space="preserve">Yuba River at Marysville: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front.h1.6748c803</w:t>
      </w:r>
    </w:p>
    <w:p>
      <w:pPr>
        <w:spacing w:after="20" w:before="100"/>
      </w:pPr>
      <w:r>
        <w:rPr>
          <w:sz w:val="21"/>
          <w:szCs w:val="21"/>
        </w:rPr>
        <w:t xml:space="preserve">TL;DR. Compared with the baseline — current operations under the historical hydroclimate — modeled tier results at Yuba River at Marysville differ from the baseline in all 23 management strategies under at least one hydroclimate. Reading each strategy under each hydroclimate as one result, 115 in all, the hydroclimate effect is the larger of the two in 45, the operations effect in 68, and neither is larger in the remaining 2. Functional environmental flows is the clearest case of the two effects running opposite ways: under moderate climate stress the hydroclimate contributes +1.1 and the strategy −2.3, leaving a difference from the baseline of −1.2.</w:t>
      </w:r>
    </w:p>
    <w:p>
      <w:pPr>
        <w:spacing w:after="40" w:before="40"/>
      </w:pPr>
      <w:r>
        <w:rPr>
          <w:rFonts w:ascii="Consolas" w:cs="Consolas" w:eastAsia="Consolas" w:hAnsi="Consolas"/>
          <w:color w:val="767171"/>
          <w:sz w:val="14"/>
          <w:szCs w:val="14"/>
        </w:rPr>
        <w:t xml:space="preserve">↑ ABOVE: this brief only  ·  id: front.p.aea98ac6</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place — Yuba River at Marysville, the model node the data serves as Yuba River at Marysville in environmental flows — under every management strategy in the ensemble, each simulated once under each of five hydroclimates.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what-this-is.p.13508b56</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2.2, the same value for every row. Read across the five hydroclimates, the values this brief reports range from 1.0 to 4.5. Of the 115 results — one strategy under one hydroclimate — 105 sit in a different tier band from the baseline and 10 sit in the same band; in 16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what-the-model-shows.p.aad9b2a0</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This brief reports one location, Yuba River at Marysville. Elsewhere in the set a sector’s tier value is the mean of the tier values at its locations; here there is a single location, so the value on this page is that location’s own and no averaging takes place. Every row is measured at that same place, so the rows differ only in which strategy produced the value. On the figure a square mark carries each value, which is the mark this set uses for a value that is not a mean over several locations.</w:t>
      </w:r>
    </w:p>
    <w:p>
      <w:pPr>
        <w:spacing w:after="40" w:before="40"/>
      </w:pPr>
      <w:r>
        <w:rPr>
          <w:rFonts w:ascii="Consolas" w:cs="Consolas" w:eastAsia="Consolas" w:hAnsi="Consolas"/>
          <w:color w:val="767171"/>
          <w:sz w:val="14"/>
          <w:szCs w:val="14"/>
        </w:rPr>
        <w:t xml:space="preserve">↑ ABOVE: this brief only  ·  id: decomposition.p.76232305</w:t>
      </w:r>
    </w:p>
    <w:p>
      <w:pPr>
        <w:pStyle w:val="Heading2"/>
        <w:spacing w:after="40" w:before="280"/>
      </w:pPr>
      <w:r>
        <w:rPr>
          <w:sz w:val="24"/>
          <w:szCs w:val="24"/>
        </w:rPr>
        <w:t xml:space="preserve">Pattern across the set</w:t>
      </w:r>
    </w:p>
    <w:p>
      <w:pPr>
        <w:spacing w:after="60"/>
      </w:pPr>
      <w:r>
        <w:rPr>
          <w:rFonts w:ascii="Consolas" w:cs="Consolas" w:eastAsia="Consolas" w:hAnsi="Consolas"/>
          <w:color w:val="767171"/>
          <w:sz w:val="14"/>
          <w:szCs w:val="14"/>
        </w:rPr>
        <w:t xml:space="preserve">section id: pattern — context only, not for editing</w:t>
      </w:r>
    </w:p>
    <w:p>
      <w:pPr>
        <w:spacing w:after="20" w:before="100"/>
      </w:pPr>
      <w:r>
        <w:rPr>
          <w:sz w:val="21"/>
          <w:szCs w:val="21"/>
        </w:rPr>
        <w:t xml:space="preserve">Read as a grid rather than row by row: of the 23 strategies reported here, 18 carry a difference from the baseline that does not reverse direction as the hydroclimate gets harder.</w:t>
      </w:r>
    </w:p>
    <w:p>
      <w:pPr>
        <w:spacing w:after="40" w:before="40"/>
      </w:pPr>
      <w:r>
        <w:rPr>
          <w:rFonts w:ascii="Consolas" w:cs="Consolas" w:eastAsia="Consolas" w:hAnsi="Consolas"/>
          <w:color w:val="767171"/>
          <w:sz w:val="14"/>
          <w:szCs w:val="14"/>
        </w:rPr>
        <w:t xml:space="preserve">↑ ABOVE: this brief only  ·  id: pattern.p.77128e97</w:t>
      </w:r>
    </w:p>
    <w:p>
      <w:pPr>
        <w:spacing w:after="20" w:before="100"/>
      </w:pPr>
      <w:r>
        <w:rPr>
          <w:sz w:val="21"/>
          <w:szCs w:val="21"/>
        </w:rPr>
        <w:t xml:space="preserve">Of those 23, 16 span more than one tier band across the five hydroclimates, and the widest spread between a row’s highest and lowest value is 3.0 tier units, at Functional environmental flows.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pattern.p.e430241c</w:t>
      </w:r>
    </w:p>
    <w:p>
      <w:pPr>
        <w:pStyle w:val="Heading2"/>
        <w:spacing w:after="40" w:before="280"/>
      </w:pPr>
      <w:r>
        <w:rPr>
          <w:sz w:val="24"/>
          <w:szCs w:val="24"/>
        </w:rPr>
        <w:t xml:space="preserve">About this place</w:t>
      </w:r>
    </w:p>
    <w:p>
      <w:pPr>
        <w:spacing w:after="60"/>
      </w:pPr>
      <w:r>
        <w:rPr>
          <w:rFonts w:ascii="Consolas" w:cs="Consolas" w:eastAsia="Consolas" w:hAnsi="Consolas"/>
          <w:color w:val="767171"/>
          <w:sz w:val="14"/>
          <w:szCs w:val="14"/>
        </w:rPr>
        <w:t xml:space="preserve">section id: about-the-subject — context only, not for editing</w:t>
      </w:r>
    </w:p>
    <w:p>
      <w:pPr>
        <w:spacing w:after="20" w:before="100"/>
      </w:pPr>
      <w:r>
        <w:rPr>
          <w:sz w:val="21"/>
          <w:szCs w:val="21"/>
        </w:rPr>
        <w:t xml:space="preserve">This point sits on the lower Yuba River at Marysville, just upstream of where the Yuba joins the Feather River in the Sacramento Valley. Flows here are shaped by upstream storage and diversions — principally New Bullards Bar Reservoir and Englebright Dam — and are managed under flow requirements that protect salmon and steelhead in the lower river, including the schedules established by the Lower Yuba River Accord.</w:t>
      </w:r>
    </w:p>
    <w:p>
      <w:pPr>
        <w:spacing w:after="40" w:before="40"/>
      </w:pPr>
      <w:r>
        <w:rPr>
          <w:rFonts w:ascii="Consolas" w:cs="Consolas" w:eastAsia="Consolas" w:hAnsi="Consolas"/>
          <w:color w:val="767171"/>
          <w:sz w:val="14"/>
          <w:szCs w:val="14"/>
        </w:rPr>
        <w:t xml:space="preserve">↑ ABOVE: this brief only  ·  id: about-the-subject.p.97f49b50</w:t>
      </w:r>
    </w:p>
    <w:p>
      <w:pPr>
        <w:spacing w:after="20" w:before="100"/>
      </w:pPr>
      <w:r>
        <w:rPr>
          <w:sz w:val="21"/>
          <w:szCs w:val="21"/>
        </w:rPr>
        <w:t xml:space="preserve">The model tracks how well flows at this point meet environmental flow targets. Because the lower Yuba's flows depend on upstream reservoir operations and on how much water the wider system leaves in the river, conditions here reflect choices made throughout the Feather-Yuba system — and they matter directly for the spring-run and fall-run Chinook salmon and steelhead that use the lower river.</w:t>
      </w:r>
    </w:p>
    <w:p>
      <w:pPr>
        <w:spacing w:after="40" w:before="40"/>
      </w:pPr>
      <w:r>
        <w:rPr>
          <w:rFonts w:ascii="Consolas" w:cs="Consolas" w:eastAsia="Consolas" w:hAnsi="Consolas"/>
          <w:color w:val="767171"/>
          <w:sz w:val="14"/>
          <w:szCs w:val="14"/>
        </w:rPr>
        <w:t xml:space="preserve">↑ ABOVE: this brief only  ·  id: about-the-subject.p.f6fe0fcf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Yuba River at Marysville — you are here</w:t>
      </w:r>
    </w:p>
    <w:p>
      <w:pPr>
        <w:spacing w:after="40" w:before="40"/>
      </w:pPr>
      <w:r>
        <w:rPr>
          <w:rFonts w:ascii="Consolas" w:cs="Consolas" w:eastAsia="Consolas" w:hAnsi="Consolas"/>
          <w:color w:val="767171"/>
          <w:sz w:val="14"/>
          <w:szCs w:val="14"/>
        </w:rPr>
        <w:t xml:space="preserve">↑ ABOVE: this brief only  ·  id: related-briefs.li.f576c3ed</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strategy’s five values in 19 of the 23 strategies reported here. In one the highest falls under a different hydroclimate. In three strategies (Functional environmental flows, Functional environmental flows with groundwater regulations, No minimum flow requirements) the highest value is shared by more than one hydroclimate. So where a strategy’s highest value falls is not settled by construction.</w:t>
      </w:r>
    </w:p>
    <w:p>
      <w:pPr>
        <w:spacing w:after="40" w:before="40"/>
      </w:pPr>
      <w:r>
        <w:rPr>
          <w:rFonts w:ascii="Consolas" w:cs="Consolas" w:eastAsia="Consolas" w:hAnsi="Consolas"/>
          <w:color w:val="767171"/>
          <w:sz w:val="14"/>
          <w:szCs w:val="14"/>
        </w:rPr>
        <w:t xml:space="preserve">↑ ABOVE: this brief only  ·  id: what-this-doesnt-say.p.69d57e6a</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yuba-marysville-loi_schema1.json,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references.p.83e5f51e</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Open Yuba River at Marysville in the data explorer.</w:t>
      </w:r>
    </w:p>
    <w:p>
      <w:pPr>
        <w:spacing w:after="40" w:before="40"/>
      </w:pPr>
      <w:r>
        <w:rPr>
          <w:rFonts w:ascii="Consolas" w:cs="Consolas" w:eastAsia="Consolas" w:hAnsi="Consolas"/>
          <w:color w:val="767171"/>
          <w:sz w:val="14"/>
          <w:szCs w:val="14"/>
        </w:rPr>
        <w:t xml:space="preserve">↑ ABOVE: this brief only  ·  id: explore-further.p.164f6167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yuba-marysville-loi</dc:title>
  <dc:creator>COEQWAL brief builder</dc:creator>
  <cp:lastModifiedBy>Un-named</cp:lastModifiedBy>
  <cp:revision>1</cp:revision>
  <dcterms:created xsi:type="dcterms:W3CDTF">2026-08-09T23:34:32.119Z</dcterms:created>
  <dcterms:modified xsi:type="dcterms:W3CDTF">2026-08-09T23:34:32.119Z</dcterms:modified>
</cp:coreProperties>
</file>

<file path=docProps/custom.xml><?xml version="1.0" encoding="utf-8"?>
<Properties xmlns="http://schemas.openxmlformats.org/officeDocument/2006/custom-properties" xmlns:vt="http://schemas.openxmlformats.org/officeDocument/2006/docPropsVTypes"/>
</file>