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Sector results — agriculture. Generated from sector_brief_agriculture_prototype_v0_1.html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agriculture — 10 of its 80 blocks. Everything else it says is shared, and is edited in the full sector results document. Each paragraph is shown under the section it belongs to.</w:t>
      </w:r>
    </w:p>
    <w:p>
      <w:pPr>
        <w:pStyle w:val="Heading1"/>
        <w:spacing w:after="60" w:before="240"/>
      </w:pPr>
      <w:r>
        <w:rPr>
          <w:sz w:val="34"/>
          <w:szCs w:val="34"/>
        </w:rPr>
        <w:t xml:space="preserve">Agriculture: modeled tier results across 23 management strategies and five hydroclimates</w:t>
      </w:r>
    </w:p>
    <w:p>
      <w:pPr>
        <w:spacing w:after="40" w:before="20"/>
      </w:pPr>
      <w:r>
        <w:rPr>
          <w:rFonts w:ascii="Consolas" w:cs="Consolas" w:eastAsia="Consolas" w:hAnsi="Consolas"/>
          <w:color w:val="767171"/>
          <w:sz w:val="14"/>
          <w:szCs w:val="14"/>
        </w:rPr>
        <w:t xml:space="preserve">↑ ABOVE: heading  ·  id: front.h1.a64ec1a9</w:t>
      </w:r>
    </w:p>
    <w:p>
      <w:pPr>
        <w:spacing w:after="20" w:before="100"/>
      </w:pPr>
      <w:r>
        <w:rPr>
          <w:sz w:val="21"/>
          <w:szCs w:val="21"/>
        </w:rPr>
        <w:t xml:space="preserve">TL;DR. Compared with the baseline — current operations under the historical hydroclimate — modeled tier results for agriculture differ from the baseline in all 23 management strategies under at least one hydroclimate. Reading each strategy under each hydroclimate as one result, 115 in all, the hydroclimate effect is the larger of the two in 86, the operations effect in 28, and neither is larger in the remaining 1. Of the 132 locations behind this sector, the number a strategy changes runs from 0 — Current operations, at the hydroclimate where it reaches fewest — to 117, at Salmon-friendly flows where it reaches most. No minimum flow requirements is the clearest case of the two effects running opposite ways: under extreme climate stress the hydroclimate contributes +0.6 and the strategy −0.1, leaving a difference from the baseline of +0.5.</w:t>
      </w:r>
    </w:p>
    <w:p>
      <w:pPr>
        <w:spacing w:after="40" w:before="40"/>
      </w:pPr>
      <w:r>
        <w:rPr>
          <w:rFonts w:ascii="Consolas" w:cs="Consolas" w:eastAsia="Consolas" w:hAnsi="Consolas"/>
          <w:color w:val="767171"/>
          <w:sz w:val="14"/>
          <w:szCs w:val="14"/>
        </w:rPr>
        <w:t xml:space="preserve">↑ ABOVE: this brief only  ·  id: front.p.59e1552f</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one sector of the water system — agriculture — under every management strategy in the ensemble, each simulated once under each of five hydroclimates. It transposes the grid the strategy results briefs report: one sector, every strategy, rather than one strategy, every sector. The selection rule is that there is none: this brief reports every management strategy these model runs carry a tier for, across all five modeled hydroclimates, and no filter is applied to either. All 23 management strategies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what-this-is.p.dcbd79c2</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23 strategies these runs report, the modeled tier value under the baseline — current operations under the historical hydroclimate — is 2.3, the same value for every row. Read across the five hydroclimates, the values this brief reports range from 2.3 to 3.5. Of the 115 results — one strategy under one hydroclimate — 41 sit in a different tier band from the baseline and 74 sit in the same band; in 12 of the 23 strategies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what-the-model-shows.p.c65f3aaf</w:t>
      </w:r>
    </w:p>
    <w:p>
      <w:pPr>
        <w:pStyle w:val="Heading2"/>
        <w:spacing w:after="40" w:before="280"/>
      </w:pPr>
      <w:r>
        <w:rPr>
          <w:sz w:val="24"/>
          <w:szCs w:val="24"/>
        </w:rPr>
        <w:t xml:space="preserve">The baseline, and the two effects</w:t>
      </w:r>
    </w:p>
    <w:p>
      <w:pPr>
        <w:spacing w:after="60"/>
      </w:pPr>
      <w:r>
        <w:rPr>
          <w:rFonts w:ascii="Consolas" w:cs="Consolas" w:eastAsia="Consolas" w:hAnsi="Consolas"/>
          <w:color w:val="767171"/>
          <w:sz w:val="14"/>
          <w:szCs w:val="14"/>
        </w:rPr>
        <w:t xml:space="preserve">section id: decomposition — context only, not for editing</w:t>
      </w:r>
    </w:p>
    <w:p>
      <w:pPr>
        <w:spacing w:after="20" w:before="100"/>
      </w:pPr>
      <w:r>
        <w:rPr>
          <w:sz w:val="21"/>
          <w:szCs w:val="21"/>
        </w:rPr>
        <w:t xml:space="preserve">Agriculture’s tier value is the unweighted mean of the tier values at its 132 locations, and every row on this page is measured over the same 132: the rows differ in which strategy produced the values, never in what was measured. Every location counts equally, regardless of the people, acres or acre-feet it represents.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decomposition.p.a3949bb0</w:t>
      </w:r>
    </w:p>
    <w:p>
      <w:pPr>
        <w:pStyle w:val="Heading2"/>
        <w:spacing w:after="40" w:before="280"/>
      </w:pPr>
      <w:r>
        <w:rPr>
          <w:sz w:val="24"/>
          <w:szCs w:val="24"/>
        </w:rPr>
        <w:t xml:space="preserve">How many places each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this sector’s value is the unweighted mean of its locations, so a real change at a few of them reads as a small sector-level difference. A location is counted where its value differs from current operations by at least 0.1 tier units. Of the 132 locations behind this sector, the number a strategy changes runs from 0 — Current operations, at the hydroclimate where it reaches fewest — to 117, at Salmon-friendly flows where it reaches most. One of them — Current operations — differs at no location under any hydroclimate. The per-strategy counts, split by hydroclimate and by direction, and the median difference behind each, are in the companion data file at #/rows/*/reach.</w:t>
      </w:r>
    </w:p>
    <w:p>
      <w:pPr>
        <w:spacing w:after="40" w:before="40"/>
      </w:pPr>
      <w:r>
        <w:rPr>
          <w:rFonts w:ascii="Consolas" w:cs="Consolas" w:eastAsia="Consolas" w:hAnsi="Consolas"/>
          <w:color w:val="767171"/>
          <w:sz w:val="14"/>
          <w:szCs w:val="14"/>
        </w:rPr>
        <w:t xml:space="preserve">↑ ABOVE: this brief only  ·  id: reach.p.70bf2c9c</w:t>
      </w:r>
    </w:p>
    <w:p>
      <w:pPr>
        <w:spacing w:after="20" w:before="100"/>
      </w:pPr>
      <w:r>
        <w:rPr>
          <w:sz w:val="21"/>
          <w:szCs w:val="21"/>
        </w:rPr>
        <w:t xml:space="preserve">Read across the five hydroclimates together, 5,712 of the 15,180 location-and-hydroclimate results reported here differ from current operations: 1,724 toward Tier 1, 3,988 toward Tier 4. The median difference over the locations counted runs from 0.1 tier units at Current operations without TUCPs to 0.9 at Salmon-friendly flows with groundwater regulations.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reach.p.e4cca58e</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60"/>
        <w:ind w:left="360"/>
      </w:pPr>
      <w:r>
        <w:rPr>
          <w:sz w:val="21"/>
          <w:szCs w:val="21"/>
        </w:rPr>
        <w:t xml:space="preserve">— Agriculture — you are here</w:t>
      </w:r>
    </w:p>
    <w:p>
      <w:pPr>
        <w:spacing w:after="40" w:before="40"/>
      </w:pPr>
      <w:r>
        <w:rPr>
          <w:rFonts w:ascii="Consolas" w:cs="Consolas" w:eastAsia="Consolas" w:hAnsi="Consolas"/>
          <w:color w:val="767171"/>
          <w:sz w:val="14"/>
          <w:szCs w:val="14"/>
        </w:rPr>
        <w:t xml:space="preserve">↑ ABOVE: this brief only  ·  id: related-briefs.li.5f5bf21d</w:t>
      </w:r>
    </w:p>
    <w:p>
      <w:pPr>
        <w:pStyle w:val="Heading2"/>
        <w:spacing w:after="40" w:before="280"/>
      </w:pPr>
      <w:r>
        <w:rPr>
          <w:sz w:val="24"/>
          <w:szCs w:val="24"/>
        </w:rPr>
        <w:t xml:space="preserve">What this doesn’t say</w:t>
      </w:r>
    </w:p>
    <w:p>
      <w:pPr>
        <w:spacing w:after="60"/>
      </w:pPr>
      <w:r>
        <w:rPr>
          <w:rFonts w:ascii="Consolas" w:cs="Consolas" w:eastAsia="Consolas" w:hAnsi="Consolas"/>
          <w:color w:val="767171"/>
          <w:sz w:val="14"/>
          <w:szCs w:val="14"/>
        </w:rPr>
        <w:t xml:space="preserve">section id: what-this-doesnt-say — context only, not for editing</w:t>
      </w:r>
    </w:p>
    <w:p>
      <w:pPr>
        <w:spacing w:after="20" w:before="100"/>
      </w:pPr>
      <w:r>
        <w:rPr>
          <w:sz w:val="21"/>
          <w:szCs w:val="21"/>
        </w:rPr>
        <w:t xml:space="preserve">Extreme climate stress holds the single highest of a strategy’s five values in 22 of the 23 strategies reported here. In one the highest falls under a different hydroclimate. So where a strategy’s highest value falls is not settled by construction.</w:t>
      </w:r>
    </w:p>
    <w:p>
      <w:pPr>
        <w:spacing w:after="40" w:before="40"/>
      </w:pPr>
      <w:r>
        <w:rPr>
          <w:rFonts w:ascii="Consolas" w:cs="Consolas" w:eastAsia="Consolas" w:hAnsi="Consolas"/>
          <w:color w:val="767171"/>
          <w:sz w:val="14"/>
          <w:szCs w:val="14"/>
        </w:rPr>
        <w:t xml:space="preserve">↑ ABOVE: this brief only  ·  id: what-this-doesnt-say.p.023e6c1b</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Companion data file: sector_agriculture_schema1.json,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references.p.a69087c0</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agriculture</dc:title>
  <dc:creator>COEQWAL brief builder</dc:creator>
  <cp:lastModifiedBy>Un-named</cp:lastModifiedBy>
  <cp:revision>1</cp:revision>
  <dcterms:created xsi:type="dcterms:W3CDTF">2026-08-09T23:34:32.068Z</dcterms:created>
  <dcterms:modified xsi:type="dcterms:W3CDTF">2026-08-09T23:34:32.068Z</dcterms:modified>
</cp:coreProperties>
</file>

<file path=docProps/custom.xml><?xml version="1.0" encoding="utf-8"?>
<Properties xmlns="http://schemas.openxmlformats.org/officeDocument/2006/custom-properties" xmlns:vt="http://schemas.openxmlformats.org/officeDocument/2006/docPropsVTypes"/>
</file>