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Sector results — community-water-systems. Generated from sector_brief_community-water-systems_prototype_v0_1.html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community-water-systems — 9 of its 80 blocks. Everything else it says is shared, and is edited in the full sector results document. Each paragraph is shown under the section it belongs to.</w:t>
      </w:r>
    </w:p>
    <w:p>
      <w:pPr>
        <w:pStyle w:val="Heading1"/>
        <w:spacing w:after="60" w:before="240"/>
      </w:pPr>
      <w:r>
        <w:rPr>
          <w:sz w:val="34"/>
          <w:szCs w:val="34"/>
        </w:rPr>
        <w:t xml:space="preserve">Community water systems: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front.h1.d08bf673</w:t>
      </w:r>
    </w:p>
    <w:p>
      <w:pPr>
        <w:spacing w:after="20" w:before="100"/>
      </w:pPr>
      <w:r>
        <w:rPr>
          <w:sz w:val="21"/>
          <w:szCs w:val="21"/>
        </w:rPr>
        <w:t xml:space="preserve">TL;DR. Compared with the baseline — current operations under the historical hydroclimate — modeled tier results for community water systems differ from the baseline in all 23 management strategies under at least one hydroclimate. Reading each strategy under each hydroclimate as one result, 115 in all, the hydroclimate effect is the larger of the two in 80, the operations effect in 34, and neither is larger in the remaining 1. Of the 74 locations behind this sector, the number a strategy changes runs from 0 — Current operations, at the hydroclimate where it reaches fewest — to 48, at No minimum flow requirements where it reaches most. No minimum flow requirements is the clearest case of the two effects running opposite ways: under extreme climate stress the hydroclimate contributes +0.8 and the strategy −0.7, leaving a difference from the baseline of +0.1.</w:t>
      </w:r>
    </w:p>
    <w:p>
      <w:pPr>
        <w:spacing w:after="40" w:before="40"/>
      </w:pPr>
      <w:r>
        <w:rPr>
          <w:rFonts w:ascii="Consolas" w:cs="Consolas" w:eastAsia="Consolas" w:hAnsi="Consolas"/>
          <w:color w:val="767171"/>
          <w:sz w:val="14"/>
          <w:szCs w:val="14"/>
        </w:rPr>
        <w:t xml:space="preserve">↑ ABOVE: this brief only  ·  id: front.p.ad055a9b</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sector of the water system — community water systems — under every management strategy in the ensemble, each simulated once under each of five hydroclimates. It transposes the grid the strategy results briefs report: one sector, every strategy, rather than one strategy, every sector.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what-this-is.p.b701d614</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23 strategies these runs report, the modeled tier values under the baseline — current operations under the historical hydroclimate — range from 1.7 to 1.7. Read across the five hydroclimates, the values this brief reports range from 1.5 to 2.8. Of the 115 results — one strategy under one hydroclimate — 61 sit in a different tier band from that strategy’s baseline value and 54 sit in the same band; in 21 of the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what-the-model-shows.p.2f48426a</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Community water systems’ tier value is the unweighted mean of the tier values at its 74 locations, and every row on this page is measured over the same 74: the rows differ in which strategy produced the values, never in what was measured. Every location counts equally, regardless of the people, acres or acre-feet it represents.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decomposition.p.debe8c6a</w:t>
      </w:r>
    </w:p>
    <w:p>
      <w:pPr>
        <w:pStyle w:val="Heading2"/>
        <w:spacing w:after="40" w:before="280"/>
      </w:pPr>
      <w:r>
        <w:rPr>
          <w:sz w:val="24"/>
          <w:szCs w:val="24"/>
        </w:rPr>
        <w:t xml:space="preserve">How many places each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this sector’s value is the unweighted mean of its locations, so a real change at a few of them reads as a small sector-level difference. A location is counted where its value differs from current operations by at least 0.1 tier units. Of the 74 locations behind this sector, the number a strategy changes runs from 0 — Current operations, at the hydroclimate where it reaches fewest — to 48, at No minimum flow requirements where it reaches most. One of them — Current operations — differs at no location under any hydroclimate. The per-strategy counts, split by hydroclimate and by direction, and the median difference behind each, are in the companion data file at #/rows/*/reach.</w:t>
      </w:r>
    </w:p>
    <w:p>
      <w:pPr>
        <w:spacing w:after="40" w:before="40"/>
      </w:pPr>
      <w:r>
        <w:rPr>
          <w:rFonts w:ascii="Consolas" w:cs="Consolas" w:eastAsia="Consolas" w:hAnsi="Consolas"/>
          <w:color w:val="767171"/>
          <w:sz w:val="14"/>
          <w:szCs w:val="14"/>
        </w:rPr>
        <w:t xml:space="preserve">↑ ABOVE: this brief only  ·  id: reach.p.9143a79a</w:t>
      </w:r>
    </w:p>
    <w:p>
      <w:pPr>
        <w:spacing w:after="20" w:before="100"/>
      </w:pPr>
      <w:r>
        <w:rPr>
          <w:sz w:val="21"/>
          <w:szCs w:val="21"/>
        </w:rPr>
        <w:t xml:space="preserve">Read across the five hydroclimates together, 2,867 of the 8,505 location-and-hydroclimate results reported here differ from current operations: 1,713 toward Tier 1, 1,154 toward Tier 4. The median difference over the locations counted runs from 0.3 tier units at Groundwater pumping limits and reduced crop acreage in the San Joaquin Valley to 0.8 at Prioritizing human health delivery levels to community water systems.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reach.p.b60fdb55</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Community water systems — you are here</w:t>
      </w:r>
    </w:p>
    <w:p>
      <w:pPr>
        <w:spacing w:after="40" w:before="40"/>
      </w:pPr>
      <w:r>
        <w:rPr>
          <w:rFonts w:ascii="Consolas" w:cs="Consolas" w:eastAsia="Consolas" w:hAnsi="Consolas"/>
          <w:color w:val="767171"/>
          <w:sz w:val="14"/>
          <w:szCs w:val="14"/>
        </w:rPr>
        <w:t xml:space="preserve">↑ ABOVE: this brief only  ·  id: related-briefs.li.96f77360</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sector_community-water-systems_schema1.json,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references.p.a18fb1cf</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community-water-systems</dc:title>
  <dc:creator>COEQWAL brief builder</dc:creator>
  <cp:lastModifiedBy>Un-named</cp:lastModifiedBy>
  <cp:revision>1</cp:revision>
  <dcterms:created xsi:type="dcterms:W3CDTF">2026-08-09T23:34:32.088Z</dcterms:created>
  <dcterms:modified xsi:type="dcterms:W3CDTF">2026-08-09T23:34:32.088Z</dcterms:modified>
</cp:coreProperties>
</file>

<file path=docProps/custom.xml><?xml version="1.0" encoding="utf-8"?>
<Properties xmlns="http://schemas.openxmlformats.org/officeDocument/2006/custom-properties" xmlns:vt="http://schemas.openxmlformats.org/officeDocument/2006/docPropsVTypes"/>
</file>