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Sector results — environmental-flows. Generated from sector_brief_environmental-flows_prototype_v0_1.html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environmental-flows — 10 of its 81 blocks. Everything else it says is shared, and is edited in the full sector results document. Each paragraph is shown under the section it belongs to.</w:t>
      </w:r>
    </w:p>
    <w:p>
      <w:pPr>
        <w:pStyle w:val="Heading1"/>
        <w:spacing w:after="60" w:before="240"/>
      </w:pPr>
      <w:r>
        <w:rPr>
          <w:sz w:val="34"/>
          <w:szCs w:val="34"/>
        </w:rPr>
        <w:t xml:space="preserve">Environmental flows: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front.h1.a03ba596</w:t>
      </w:r>
    </w:p>
    <w:p>
      <w:pPr>
        <w:spacing w:after="20" w:before="100"/>
      </w:pPr>
      <w:r>
        <w:rPr>
          <w:sz w:val="21"/>
          <w:szCs w:val="21"/>
        </w:rPr>
        <w:t xml:space="preserve">TL;DR. Compared with the baseline — current operations under the historical hydroclimate — modeled tier results for environmental flows differ from the baseline in all 23 management strategies under at least one hydroclimate. Reading each strategy under each hydroclimate as one result, 115 in all, the hydroclimate effect is the larger of the two in 49, the operations effect in 65, and neither is larger in the remaining 1. Of the 17 locations behind this sector, the number a strategy changes runs from 0 — Current operations, at the hydroclimate where it reaches fewest — to 17, at Current operations with historical land use where it reaches most. Functional environmental flows with groundwater regulations is the clearest case of the two effects running opposite ways: under extreme climate stress the hydroclimate contributes +1.4 and the strategy −1.5, leaving a difference from the baseline of −0.1.</w:t>
      </w:r>
    </w:p>
    <w:p>
      <w:pPr>
        <w:spacing w:after="40" w:before="40"/>
      </w:pPr>
      <w:r>
        <w:rPr>
          <w:rFonts w:ascii="Consolas" w:cs="Consolas" w:eastAsia="Consolas" w:hAnsi="Consolas"/>
          <w:color w:val="767171"/>
          <w:sz w:val="14"/>
          <w:szCs w:val="14"/>
        </w:rPr>
        <w:t xml:space="preserve">↑ ABOVE: this brief only  ·  id: front.p.9bcd2f4e</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sector of the water system — environmental flows — under every management strategy in the ensemble, each simulated once under each of five hydroclimates. It transposes the grid the strategy results briefs report: one sector, every strategy, rather than one strategy, every sector.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what-this-is.p.357afb14</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23 strategies these runs report, the modeled tier value under the baseline — current operations under the historical hydroclimate — is 2.7, the same value for every row. Read across the five hydroclimates, the values this brief reports range from 1.5 to 4.1. Of the 115 results — one strategy under one hydroclimate — 102 sit in a different tier band from the baseline and 13 sit in the same band; in 21 of the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what-the-model-shows.p.199d3624</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Environmental flows’ tier value is the unweighted mean of the tier values at its 17 locations, and every row on this page is measured over the same 17: the rows differ in which strategy produced the values, never in what was measured. Every location counts equally, regardless of the people, acres or acre-feet it represents.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decomposition.p.6eb2e1dc</w:t>
      </w:r>
    </w:p>
    <w:p>
      <w:pPr>
        <w:pStyle w:val="Heading2"/>
        <w:spacing w:after="40" w:before="280"/>
      </w:pPr>
      <w:r>
        <w:rPr>
          <w:sz w:val="24"/>
          <w:szCs w:val="24"/>
        </w:rPr>
        <w:t xml:space="preserve">How many places each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this sector’s value is the unweighted mean of its locations, so a real change at a few of them reads as a small sector-level difference. A location is counted where its value differs from current operations by at least 0.1 tier units. Of the 17 locations behind this sector, the number a strategy changes runs from 0 — Current operations, at the hydroclimate where it reaches fewest — to 17, at Current operations with historical land use where it reaches most. One of them — Current operations — differs at no location under any hydroclimate. The per-strategy counts, split by hydroclimate and by direction, and the median difference behind each, are in the companion data file at #/rows/*/reach.</w:t>
      </w:r>
    </w:p>
    <w:p>
      <w:pPr>
        <w:spacing w:after="40" w:before="40"/>
      </w:pPr>
      <w:r>
        <w:rPr>
          <w:rFonts w:ascii="Consolas" w:cs="Consolas" w:eastAsia="Consolas" w:hAnsi="Consolas"/>
          <w:color w:val="767171"/>
          <w:sz w:val="14"/>
          <w:szCs w:val="14"/>
        </w:rPr>
        <w:t xml:space="preserve">↑ ABOVE: this brief only  ·  id: reach.p.210a077e</w:t>
      </w:r>
    </w:p>
    <w:p>
      <w:pPr>
        <w:spacing w:after="20" w:before="100"/>
      </w:pPr>
      <w:r>
        <w:rPr>
          <w:sz w:val="21"/>
          <w:szCs w:val="21"/>
        </w:rPr>
        <w:t xml:space="preserve">Read across the five hydroclimates together, 1,208 of the 1,955 location-and-hydroclimate results reported here differ from current operations: 321 toward Tier 1, 887 toward Tier 4. The median difference over the locations counted runs from 0.1 tier units at Groundwater pumping limits in the Central Valley to 1.5 at Functional environmental flows with groundwater regulations.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reach.p.fbd9ced5</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Environmental flows — you are here</w:t>
      </w:r>
    </w:p>
    <w:p>
      <w:pPr>
        <w:spacing w:after="40" w:before="40"/>
      </w:pPr>
      <w:r>
        <w:rPr>
          <w:rFonts w:ascii="Consolas" w:cs="Consolas" w:eastAsia="Consolas" w:hAnsi="Consolas"/>
          <w:color w:val="767171"/>
          <w:sz w:val="14"/>
          <w:szCs w:val="14"/>
        </w:rPr>
        <w:t xml:space="preserve">↑ ABOVE: this brief only  ·  id: related-briefs.li.0dd5e2a6</w:t>
      </w:r>
    </w:p>
    <w:p>
      <w:pPr>
        <w:spacing w:after="20" w:before="100"/>
      </w:pPr>
      <w:r>
        <w:rPr>
          <w:sz w:val="21"/>
          <w:szCs w:val="21"/>
        </w:rPr>
        <w:t xml:space="preserve">What is inside this sector? This page reports the sector as one value, the mean over its locations; a place brief reports one of those locations on its own: San Joaquin River at Salt Slough, Trinity River at Lewiston and Yuba River at Marysville.</w:t>
      </w:r>
    </w:p>
    <w:p>
      <w:pPr>
        <w:spacing w:after="40" w:before="40"/>
      </w:pPr>
      <w:r>
        <w:rPr>
          <w:rFonts w:ascii="Consolas" w:cs="Consolas" w:eastAsia="Consolas" w:hAnsi="Consolas"/>
          <w:color w:val="767171"/>
          <w:sz w:val="14"/>
          <w:szCs w:val="14"/>
        </w:rPr>
        <w:t xml:space="preserve">↑ ABOVE: this brief only  ·  id: related-briefs.p.165aa96c</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sector_environmental-flows_schema1.json,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references.p.e6fbc55d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environmental-flows</dc:title>
  <dc:creator>COEQWAL brief builder</dc:creator>
  <cp:lastModifiedBy>Un-named</cp:lastModifiedBy>
  <cp:revision>1</cp:revision>
  <dcterms:created xsi:type="dcterms:W3CDTF">2026-08-09T23:34:32.091Z</dcterms:created>
  <dcterms:modified xsi:type="dcterms:W3CDTF">2026-08-09T23:34:32.091Z</dcterms:modified>
</cp:coreProperties>
</file>

<file path=docProps/custom.xml><?xml version="1.0" encoding="utf-8"?>
<Properties xmlns="http://schemas.openxmlformats.org/officeDocument/2006/custom-properties" xmlns:vt="http://schemas.openxmlformats.org/officeDocument/2006/docPropsVTypes"/>
</file>