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olor w:val="767171"/>
          <w:sz w:val="16"/>
          <w:szCs w:val="16"/>
        </w:rPr>
        <w:t xml:space="preserve">COEQWAL BRIEF — REVIEW COPY, ROUND 1 · rev b, share labels corrected 2026-08-08</w:t>
      </w:r>
    </w:p>
    <w:p>
      <w:pPr>
        <w:pBdr>
          <w:bottom w:val="single" w:color="CCCCCC" w:sz="6" w:space="6"/>
        </w:pBdr>
        <w:spacing w:after="160"/>
      </w:pPr>
      <w:r>
        <w:rPr>
          <w:i/>
          <w:iCs/>
          <w:color w:val="767171"/>
          <w:sz w:val="16"/>
          <w:szCs w:val="16"/>
        </w:rPr>
        <w:t xml:space="preserve">Sector results — freshwater-for-delta-exports. Generated from sector_brief_freshwater-for-delta-exports_prototype_v0_1.html (build gen3e). Edit the prose freely; track changes are welcome but not required. Do not edit numbers — they are model output and are verified separately. Comment on them instead.</w:t>
      </w:r>
    </w:p>
    <w:p>
      <w:pPr>
        <w:shd w:fill="F2F1EE" w:val="clear"/>
        <w:spacing w:after="80" w:before="80"/>
      </w:pPr>
      <w:r>
        <w:rPr>
          <w:i/>
          <w:iCs/>
          <w:color w:val="333333"/>
          <w:sz w:val="16"/>
          <w:szCs w:val="16"/>
        </w:rPr>
        <w:t xml:space="preserve">This document holds ONLY the paragraphs unique to freshwater-for-delta-exports — 9 of its 80 blocks. Everything else it says is shared, and is edited in the full sector results document. Each paragraph is shown under the section it belongs to.</w:t>
      </w:r>
    </w:p>
    <w:p>
      <w:pPr>
        <w:pStyle w:val="Heading1"/>
        <w:spacing w:after="60" w:before="240"/>
      </w:pPr>
      <w:r>
        <w:rPr>
          <w:sz w:val="34"/>
          <w:szCs w:val="34"/>
        </w:rPr>
        <w:t xml:space="preserve">Freshwater for Delta exports: modeled tier results across 23 management strategies and five hydroclimates</w:t>
      </w:r>
    </w:p>
    <w:p>
      <w:pPr>
        <w:spacing w:after="40" w:before="20"/>
      </w:pPr>
      <w:r>
        <w:rPr>
          <w:rFonts w:ascii="Consolas" w:cs="Consolas" w:eastAsia="Consolas" w:hAnsi="Consolas"/>
          <w:color w:val="767171"/>
          <w:sz w:val="14"/>
          <w:szCs w:val="14"/>
        </w:rPr>
        <w:t xml:space="preserve">↑ ABOVE: heading  ·  id: front.h1.ff41bafa</w:t>
      </w:r>
    </w:p>
    <w:p>
      <w:pPr>
        <w:spacing w:after="20" w:before="100"/>
      </w:pPr>
      <w:r>
        <w:rPr>
          <w:sz w:val="21"/>
          <w:szCs w:val="21"/>
        </w:rPr>
        <w:t xml:space="preserve">TL;DR. Compared with the baseline — current operations under the historical hydroclimate — modeled tier results for freshwater for Delta exports differ from the baseline in all 23 management strategies under at least one hydroclimate. Reading each strategy under each hydroclimate as one result, 115 in all, the hydroclimate effect is the larger of the two in 79, the operations effect in 35, and neither is larger in the remaining 1. Of the two locations behind this sector, the number a strategy changes runs from 0 — Current operations, at the hydroclimate where it reaches fewest — to 2, at Current operations with historical land use where it reaches most. Salmon-friendly flows with groundwater regulations is the clearest case of the two effects running opposite ways: under high climate stress the hydroclimate contributes +1.1 and the strategy −1.0, leaving a difference from the baseline of +0.1.</w:t>
      </w:r>
    </w:p>
    <w:p>
      <w:pPr>
        <w:spacing w:after="40" w:before="40"/>
      </w:pPr>
      <w:r>
        <w:rPr>
          <w:rFonts w:ascii="Consolas" w:cs="Consolas" w:eastAsia="Consolas" w:hAnsi="Consolas"/>
          <w:color w:val="767171"/>
          <w:sz w:val="14"/>
          <w:szCs w:val="14"/>
        </w:rPr>
        <w:t xml:space="preserve">↑ ABOVE: this brief only  ·  id: front.p.2e0039c9</w:t>
      </w:r>
    </w:p>
    <w:p>
      <w:pPr>
        <w:pStyle w:val="Heading2"/>
        <w:spacing w:after="40" w:before="280"/>
      </w:pPr>
      <w:r>
        <w:rPr>
          <w:sz w:val="24"/>
          <w:szCs w:val="24"/>
        </w:rPr>
        <w:t xml:space="preserve">What this is</w:t>
      </w:r>
    </w:p>
    <w:p>
      <w:pPr>
        <w:spacing w:after="60"/>
      </w:pPr>
      <w:r>
        <w:rPr>
          <w:rFonts w:ascii="Consolas" w:cs="Consolas" w:eastAsia="Consolas" w:hAnsi="Consolas"/>
          <w:color w:val="767171"/>
          <w:sz w:val="14"/>
          <w:szCs w:val="14"/>
        </w:rPr>
        <w:t xml:space="preserve">section id: what-this-is — context only, not for editing</w:t>
      </w:r>
    </w:p>
    <w:p>
      <w:pPr>
        <w:spacing w:after="20" w:before="100"/>
      </w:pPr>
      <w:r>
        <w:rPr>
          <w:sz w:val="21"/>
          <w:szCs w:val="21"/>
        </w:rPr>
        <w:t xml:space="preserve">This is a results brief: it reports the modeled tier results, and nothing else, for one sector of the water system — freshwater for Delta exports — under every management strategy in the ensemble, each simulated once under each of five hydroclimates. It transposes the grid the strategy results briefs report: one sector, every strategy, rather than one strategy, every sector. The selection rule is that there is none: this brief reports every management strategy these model runs carry a tier for, across all five modeled hydroclimates, and no filter is applied to either. All 23 management strategies are reported under every hydroclimate. A scenario is a strategy paired with one hydroclimate; the five hydroclimates are a sample of stress levels, not a forecast of which will occur. For how the five were constructed, see the hydroclimates reference brief.</w:t>
      </w:r>
    </w:p>
    <w:p>
      <w:pPr>
        <w:spacing w:after="40" w:before="40"/>
      </w:pPr>
      <w:r>
        <w:rPr>
          <w:rFonts w:ascii="Consolas" w:cs="Consolas" w:eastAsia="Consolas" w:hAnsi="Consolas"/>
          <w:color w:val="767171"/>
          <w:sz w:val="14"/>
          <w:szCs w:val="14"/>
        </w:rPr>
        <w:t xml:space="preserve">↑ ABOVE: this brief only  ·  id: what-this-is.p.4e6f9148</w:t>
      </w:r>
    </w:p>
    <w:p>
      <w:pPr>
        <w:pStyle w:val="Heading2"/>
        <w:spacing w:after="40" w:before="280"/>
      </w:pPr>
      <w:r>
        <w:rPr>
          <w:sz w:val="24"/>
          <w:szCs w:val="24"/>
        </w:rPr>
        <w:t xml:space="preserve">What the model shows</w:t>
      </w:r>
    </w:p>
    <w:p>
      <w:pPr>
        <w:spacing w:after="60"/>
      </w:pPr>
      <w:r>
        <w:rPr>
          <w:rFonts w:ascii="Consolas" w:cs="Consolas" w:eastAsia="Consolas" w:hAnsi="Consolas"/>
          <w:color w:val="767171"/>
          <w:sz w:val="14"/>
          <w:szCs w:val="14"/>
        </w:rPr>
        <w:t xml:space="preserve">section id: what-the-model-shows — context only, not for editing</w:t>
      </w:r>
    </w:p>
    <w:p>
      <w:pPr>
        <w:spacing w:after="20" w:before="100"/>
      </w:pPr>
      <w:r>
        <w:rPr>
          <w:sz w:val="21"/>
          <w:szCs w:val="21"/>
        </w:rPr>
        <w:t xml:space="preserve">Across the 23 strategies these runs report, the modeled tier value under the baseline — current operations under the historical hydroclimate — is 2.7, the same value for every row. Read across the five hydroclimates, the values this brief reports range from 1.0 to 4.4. Of the 115 results — one strategy under one hydroclimate — 86 sit in a different tier band from the baseline and 29 sit in the same band; in 19 of the 23 strategies the five values do not all sit in one band.</w:t>
      </w:r>
    </w:p>
    <w:p>
      <w:pPr>
        <w:spacing w:after="40" w:before="40"/>
      </w:pPr>
      <w:r>
        <w:rPr>
          <w:rFonts w:ascii="Consolas" w:cs="Consolas" w:eastAsia="Consolas" w:hAnsi="Consolas"/>
          <w:color w:val="767171"/>
          <w:sz w:val="14"/>
          <w:szCs w:val="14"/>
        </w:rPr>
        <w:t xml:space="preserve">↑ ABOVE: this brief only  ·  id: what-the-model-shows.p.8845272f</w:t>
      </w:r>
    </w:p>
    <w:p>
      <w:pPr>
        <w:pStyle w:val="Heading2"/>
        <w:spacing w:after="40" w:before="280"/>
      </w:pPr>
      <w:r>
        <w:rPr>
          <w:sz w:val="24"/>
          <w:szCs w:val="24"/>
        </w:rPr>
        <w:t xml:space="preserve">The baseline, and the two effects</w:t>
      </w:r>
    </w:p>
    <w:p>
      <w:pPr>
        <w:spacing w:after="60"/>
      </w:pPr>
      <w:r>
        <w:rPr>
          <w:rFonts w:ascii="Consolas" w:cs="Consolas" w:eastAsia="Consolas" w:hAnsi="Consolas"/>
          <w:color w:val="767171"/>
          <w:sz w:val="14"/>
          <w:szCs w:val="14"/>
        </w:rPr>
        <w:t xml:space="preserve">section id: decomposition — context only, not for editing</w:t>
      </w:r>
    </w:p>
    <w:p>
      <w:pPr>
        <w:spacing w:after="20" w:before="100"/>
      </w:pPr>
      <w:r>
        <w:rPr>
          <w:sz w:val="21"/>
          <w:szCs w:val="21"/>
        </w:rPr>
        <w:t xml:space="preserve">Freshwater for Delta exports’ tier value is the unweighted mean of the tier values at its two locations, and every row on this page is measured over the same two: the rows differ in which strategy produced the values, never in what was measured. Those locations carry the same tier value as each other in every scenario in this ensemble, so the mean is that value. Every location counts equally, regardless of the people, acres or acre-feet it represents. This page reports sectors, not individual locations; where a place brief has been published for one of a sector’s locations, that brief reports the location’s own values across the same scenarios.</w:t>
      </w:r>
    </w:p>
    <w:p>
      <w:pPr>
        <w:spacing w:after="40" w:before="40"/>
      </w:pPr>
      <w:r>
        <w:rPr>
          <w:rFonts w:ascii="Consolas" w:cs="Consolas" w:eastAsia="Consolas" w:hAnsi="Consolas"/>
          <w:color w:val="767171"/>
          <w:sz w:val="14"/>
          <w:szCs w:val="14"/>
        </w:rPr>
        <w:t xml:space="preserve">↑ ABOVE: this brief only  ·  id: decomposition.p.996916f5</w:t>
      </w:r>
    </w:p>
    <w:p>
      <w:pPr>
        <w:pStyle w:val="Heading2"/>
        <w:spacing w:after="40" w:before="280"/>
      </w:pPr>
      <w:r>
        <w:rPr>
          <w:sz w:val="24"/>
          <w:szCs w:val="24"/>
        </w:rPr>
        <w:t xml:space="preserve">How many places each strategy reaches</w:t>
      </w:r>
    </w:p>
    <w:p>
      <w:pPr>
        <w:spacing w:after="60"/>
      </w:pPr>
      <w:r>
        <w:rPr>
          <w:rFonts w:ascii="Consolas" w:cs="Consolas" w:eastAsia="Consolas" w:hAnsi="Consolas"/>
          <w:color w:val="767171"/>
          <w:sz w:val="14"/>
          <w:szCs w:val="14"/>
        </w:rPr>
        <w:t xml:space="preserve">section id: reach — context only, not for editing</w:t>
      </w:r>
    </w:p>
    <w:p>
      <w:pPr>
        <w:spacing w:after="20" w:before="100"/>
      </w:pPr>
      <w:r>
        <w:rPr>
          <w:sz w:val="21"/>
          <w:szCs w:val="21"/>
        </w:rPr>
        <w:t xml:space="preserve">A strategy’s rules apply in some places and not others, and this sector’s value is the unweighted mean of its locations, so a real change at a few of them reads as a small sector-level difference. A location is counted where its value differs from current operations by at least 0.1 tier units. Of the two locations behind this sector, the number a strategy changes runs from 0 — Current operations, at the hydroclimate where it reaches fewest — to 2, at Current operations with historical land use where it reaches most. Three of them differ at no location under any hydroclimate. The per-strategy counts, split by hydroclimate and by direction, and the median difference behind each, are in the companion data file at #/rows/*/reach.</w:t>
      </w:r>
    </w:p>
    <w:p>
      <w:pPr>
        <w:spacing w:after="40" w:before="40"/>
      </w:pPr>
      <w:r>
        <w:rPr>
          <w:rFonts w:ascii="Consolas" w:cs="Consolas" w:eastAsia="Consolas" w:hAnsi="Consolas"/>
          <w:color w:val="767171"/>
          <w:sz w:val="14"/>
          <w:szCs w:val="14"/>
        </w:rPr>
        <w:t xml:space="preserve">↑ ABOVE: this brief only  ·  id: reach.p.d375ad97</w:t>
      </w:r>
    </w:p>
    <w:p>
      <w:pPr>
        <w:spacing w:after="20" w:before="100"/>
      </w:pPr>
      <w:r>
        <w:rPr>
          <w:sz w:val="21"/>
          <w:szCs w:val="21"/>
        </w:rPr>
        <w:t xml:space="preserve">Read across the five hydroclimates together, 154 of the 230 location-and-hydroclimate results reported here differ from current operations: 98 toward Tier 1, 56 toward Tier 4. The median difference over the locations counted runs from 0.1 tier units at Prioritizing human health delivery levels to community water systems to 1.0 at Increase Delta outflows (65% of unimpaired flow). This page reports sectors, not individual locations; where a place brief has been published for one of a sector’s locations, that brief reports the location’s own values across the same scenarios.</w:t>
      </w:r>
    </w:p>
    <w:p>
      <w:pPr>
        <w:spacing w:after="40" w:before="40"/>
      </w:pPr>
      <w:r>
        <w:rPr>
          <w:rFonts w:ascii="Consolas" w:cs="Consolas" w:eastAsia="Consolas" w:hAnsi="Consolas"/>
          <w:color w:val="767171"/>
          <w:sz w:val="14"/>
          <w:szCs w:val="14"/>
        </w:rPr>
        <w:t xml:space="preserve">↑ ABOVE: this brief only  ·  id: reach.p.52ed9190</w:t>
      </w:r>
    </w:p>
    <w:p>
      <w:pPr>
        <w:pStyle w:val="Heading2"/>
        <w:spacing w:after="40" w:before="280"/>
      </w:pPr>
      <w:r>
        <w:rPr>
          <w:sz w:val="24"/>
          <w:szCs w:val="24"/>
        </w:rPr>
        <w:t xml:space="preserve">Related briefs</w:t>
      </w:r>
    </w:p>
    <w:p>
      <w:pPr>
        <w:spacing w:after="60"/>
      </w:pPr>
      <w:r>
        <w:rPr>
          <w:rFonts w:ascii="Consolas" w:cs="Consolas" w:eastAsia="Consolas" w:hAnsi="Consolas"/>
          <w:color w:val="767171"/>
          <w:sz w:val="14"/>
          <w:szCs w:val="14"/>
        </w:rPr>
        <w:t xml:space="preserve">section id: related-briefs — context only, not for editing</w:t>
      </w:r>
    </w:p>
    <w:p>
      <w:pPr>
        <w:spacing w:after="20" w:before="60"/>
        <w:ind w:left="360"/>
      </w:pPr>
      <w:r>
        <w:rPr>
          <w:sz w:val="21"/>
          <w:szCs w:val="21"/>
        </w:rPr>
        <w:t xml:space="preserve">— Freshwater for Delta exports — you are here</w:t>
      </w:r>
    </w:p>
    <w:p>
      <w:pPr>
        <w:spacing w:after="40" w:before="40"/>
      </w:pPr>
      <w:r>
        <w:rPr>
          <w:rFonts w:ascii="Consolas" w:cs="Consolas" w:eastAsia="Consolas" w:hAnsi="Consolas"/>
          <w:color w:val="767171"/>
          <w:sz w:val="14"/>
          <w:szCs w:val="14"/>
        </w:rPr>
        <w:t xml:space="preserve">↑ ABOVE: this brief only  ·  id: related-briefs.li.e6fcacaa</w:t>
      </w:r>
    </w:p>
    <w:p>
      <w:pPr>
        <w:pStyle w:val="Heading2"/>
        <w:spacing w:after="40" w:before="280"/>
      </w:pPr>
      <w:r>
        <w:rPr>
          <w:sz w:val="24"/>
          <w:szCs w:val="24"/>
        </w:rPr>
        <w:t xml:space="preserve">References, run identifiers and the build stamp</w:t>
      </w:r>
    </w:p>
    <w:p>
      <w:pPr>
        <w:spacing w:after="60"/>
      </w:pPr>
      <w:r>
        <w:rPr>
          <w:rFonts w:ascii="Consolas" w:cs="Consolas" w:eastAsia="Consolas" w:hAnsi="Consolas"/>
          <w:color w:val="767171"/>
          <w:sz w:val="14"/>
          <w:szCs w:val="14"/>
        </w:rPr>
        <w:t xml:space="preserve">section id: references — context only, not for editing</w:t>
      </w:r>
    </w:p>
    <w:p>
      <w:pPr>
        <w:spacing w:after="20" w:before="100"/>
      </w:pPr>
      <w:r>
        <w:rPr>
          <w:sz w:val="21"/>
          <w:szCs w:val="21"/>
        </w:rPr>
        <w:t xml:space="preserve">Companion data file: sector_freshwater-for-delta-exports_schema1.json, holding every value in this brief plus the per-location counts, the spread measures, the derivation of every number in the prose and the figure’s declared attribute contract. Per-hydroclimate slices: Historical #/rows/*/by_hydroclimate/BL; Moderate #/rows/*/by_hydroclimate/HC4; Moderate-high #/rows/*/by_hydroclimate/HC1; High #/rows/*/by_hydroclimate/HC2; Extreme #/rows/*/by_hydroclimate/HC3. Built from the locked 2026-08-01 API snapshot (api.coeqwal.org v2.1.1 (locked dataset snapshot)). Decomposition per Decomposition_Math_Quickref (coeqwal-viz): the hydroclimate effect is current operations under that hydroclimate minus current operations under the historical hydroclimate; the operations effect is this strategy minus current operations under that same hydroclimate. Axis convention [1, 4.99] per Ordinal_vs_continuous_tiers.md; the visible band is floor(value). A difference of 0.1 tier units is required before a difference is reported as movement, before a location is counted as differing from its comparison, and before an effect prints as anything other than 0.0. Colour semantics (warm = hydroclimate, blue = operations) follow the ops-vs-climate stepper. Strategy identity is its descriptive name; run IDs appear only in this note and the data file.</w:t>
      </w:r>
    </w:p>
    <w:p>
      <w:pPr>
        <w:spacing w:after="40" w:before="40"/>
      </w:pPr>
      <w:r>
        <w:rPr>
          <w:rFonts w:ascii="Consolas" w:cs="Consolas" w:eastAsia="Consolas" w:hAnsi="Consolas"/>
          <w:color w:val="767171"/>
          <w:sz w:val="14"/>
          <w:szCs w:val="14"/>
        </w:rPr>
        <w:t xml:space="preserve">↑ ABOVE: this brief only  ·  id: references.p.86769816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round 1 — freshwater-for-delta-exports</dc:title>
  <dc:creator>COEQWAL brief builder</dc:creator>
  <cp:lastModifiedBy>Un-named</cp:lastModifiedBy>
  <cp:revision>1</cp:revision>
  <dcterms:created xsi:type="dcterms:W3CDTF">2026-08-09T23:34:32.094Z</dcterms:created>
  <dcterms:modified xsi:type="dcterms:W3CDTF">2026-08-09T23:34:32.094Z</dcterms:modified>
</cp:coreProperties>
</file>

<file path=docProps/custom.xml><?xml version="1.0" encoding="utf-8"?>
<Properties xmlns="http://schemas.openxmlformats.org/officeDocument/2006/custom-properties" xmlns:vt="http://schemas.openxmlformats.org/officeDocument/2006/docPropsVTypes"/>
</file>