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groundwater-storage. Generated from sector_brief_groundwater-storage_prototype_v0_1.html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groundwater-storage — 9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Groundwater storage: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front.h1.5eb33950</w:t>
      </w:r>
    </w:p>
    <w:p>
      <w:pPr>
        <w:spacing w:after="20" w:before="100"/>
      </w:pPr>
      <w:r>
        <w:rPr>
          <w:sz w:val="21"/>
          <w:szCs w:val="21"/>
        </w:rPr>
        <w:t xml:space="preserve">TL;DR. Compared with the baseline — current operations under the historical hydroclimate — modeled tier results for groundwater storage differ from the baseline in all 23 management strategies under at least one hydroclimate. Reading each strategy under each hydroclimate as one result, 115 in all, the hydroclimate effect is the larger of the two in 57, the operations effect in 57, and neither is larger in the remaining 1. Of the 42 locations behind this sector, the number a strategy changes runs from 0 — Current operations, at the hydroclimate where it reaches fewest — to 39, at Current USBR operations where it reaches most. Groundwater pumping limits and reduced crop acreage in the Central Valley is the clearest case of the two effects running opposite ways: under high climate stress the hydroclimate contributes +0.2 and the strategy −0.3, leaving a difference from the baseline of −0.1.</w:t>
      </w:r>
    </w:p>
    <w:p>
      <w:pPr>
        <w:spacing w:after="40" w:before="40"/>
      </w:pPr>
      <w:r>
        <w:rPr>
          <w:rFonts w:ascii="Consolas" w:cs="Consolas" w:eastAsia="Consolas" w:hAnsi="Consolas"/>
          <w:color w:val="767171"/>
          <w:sz w:val="14"/>
          <w:szCs w:val="14"/>
        </w:rPr>
        <w:t xml:space="preserve">↑ ABOVE: this brief only  ·  id: front.p.ac1857d5</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groundwater storage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what-this-is.p.71438b93</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2.8, the same value for every row. Read across the five hydroclimates, the values this brief reports range from 2.1 to 3.5. Of the 115 results — one strategy under one hydroclimate — 55 sit in a different tier band from the baseline and 60 sit in the same band; in 22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what-the-model-shows.p.cd3deb58</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Groundwater storage’s tier value is the unweighted mean of the tier values at its 42 locations, and every row on this page is measured over the same 42: the rows differ in which strategy produced the values, never in what was measured.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decomposition.p.dfe96d2b</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42 locations behind this sector, the number a strategy changes runs from 0 — Current operations, at the hydroclimate where it reaches fewest — to 39, at Current USBR operations where it reaches most. One of them — Current operations — differs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reach.p.ee67bdf7</w:t>
      </w:r>
    </w:p>
    <w:p>
      <w:pPr>
        <w:spacing w:after="20" w:before="100"/>
      </w:pPr>
      <w:r>
        <w:rPr>
          <w:sz w:val="21"/>
          <w:szCs w:val="21"/>
        </w:rPr>
        <w:t xml:space="preserve">Read across the five hydroclimates together, 2,323 of the 4,830 location-and-hydroclimate results reported here differ from current operations: 1,137 toward Tier 1, 1,186 toward Tier 4. The median difference over the locations counted runs from 0.1 tier units at Relax Delta salinity standards to 1.1 at Increase Delta outflows (65% of unimpaired flow).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reach.p.0ec912aa</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Groundwater storage — you are here</w:t>
      </w:r>
    </w:p>
    <w:p>
      <w:pPr>
        <w:spacing w:after="40" w:before="40"/>
      </w:pPr>
      <w:r>
        <w:rPr>
          <w:rFonts w:ascii="Consolas" w:cs="Consolas" w:eastAsia="Consolas" w:hAnsi="Consolas"/>
          <w:color w:val="767171"/>
          <w:sz w:val="14"/>
          <w:szCs w:val="14"/>
        </w:rPr>
        <w:t xml:space="preserve">↑ ABOVE: this brief only  ·  id: related-briefs.li.f1adb6a2</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sector_groundwater-storage_schema1.json,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references.p.c0d5fe14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groundwater-storage</dc:title>
  <dc:creator>COEQWAL brief builder</dc:creator>
  <cp:lastModifiedBy>Un-named</cp:lastModifiedBy>
  <cp:revision>1</cp:revision>
  <dcterms:created xsi:type="dcterms:W3CDTF">2026-08-09T23:34:32.102Z</dcterms:created>
  <dcterms:modified xsi:type="dcterms:W3CDTF">2026-08-09T23:34:32.102Z</dcterms:modified>
</cp:coreProperties>
</file>

<file path=docProps/custom.xml><?xml version="1.0" encoding="utf-8"?>
<Properties xmlns="http://schemas.openxmlformats.org/officeDocument/2006/custom-properties" xmlns:vt="http://schemas.openxmlformats.org/officeDocument/2006/docPropsVTypes"/>
</file>