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winter-run-chinook-salmon. Generated from sector_brief_winter-run-chinook-salmon_prototype_v0_1.html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winter-run-chinook-salmon — 12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Winter-run Chinook salmon: modeled tier results across 22 management strategies and five hydroclimates</w:t>
      </w:r>
    </w:p>
    <w:p>
      <w:pPr>
        <w:spacing w:after="40" w:before="20"/>
      </w:pPr>
      <w:r>
        <w:rPr>
          <w:rFonts w:ascii="Consolas" w:cs="Consolas" w:eastAsia="Consolas" w:hAnsi="Consolas"/>
          <w:color w:val="767171"/>
          <w:sz w:val="14"/>
          <w:szCs w:val="14"/>
        </w:rPr>
        <w:t xml:space="preserve">↑ ABOVE: heading  ·  id: front.h1.84899d5e</w:t>
      </w:r>
    </w:p>
    <w:p>
      <w:pPr>
        <w:spacing w:after="20" w:before="100"/>
      </w:pPr>
      <w:r>
        <w:rPr>
          <w:sz w:val="21"/>
          <w:szCs w:val="21"/>
        </w:rPr>
        <w:t xml:space="preserve">TL;DR. Compared with the baseline — current operations under the historical hydroclimate — modeled tier results for winter-run Chinook salmon differ from the baseline in all 22 strategies these runs report under at least one hydroclimate. The Delta Conveyance Project runs report no winter-run Chinook salmon tier, and that strategy is shown as such. Reading each strategy under each hydroclimate as one result, 110 in all, the hydroclimate effect is the larger of the two in 82, the operations effect in 27, and neither is larger in the remaining 1. Of the one location behind this sector, the number a strategy changes runs from 0 — Current operations, at the hydroclimate where it reaches fewest — to 1, at Current USBR operations where it reaches most. Groundwater pumping limits and reduced crop acreage in the Central Valley is the clearest case of the two effects running opposite ways: under moderate-high climate stress the hydroclimate contributes +0.4 and the strategy −0.5, leaving no net difference from the baseline.</w:t>
      </w:r>
    </w:p>
    <w:p>
      <w:pPr>
        <w:spacing w:after="40" w:before="40"/>
      </w:pPr>
      <w:r>
        <w:rPr>
          <w:rFonts w:ascii="Consolas" w:cs="Consolas" w:eastAsia="Consolas" w:hAnsi="Consolas"/>
          <w:color w:val="767171"/>
          <w:sz w:val="14"/>
          <w:szCs w:val="14"/>
        </w:rPr>
        <w:t xml:space="preserve">↑ ABOVE: this brief only  ·  id: front.p.c691cddd</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winter-run Chinook salmon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22 of the 23 management strategies are reported under every hydroclimate. The Delta Conveyance Project runs report no winter-run Chinook salmon tier, and that strategy is shown as such.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what-this-is.p.f1711cce</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22 strategies these runs report, the modeled tier value under the baseline — current operations under the historical hydroclimate — is 4.2, the same value for every row. Read across the five hydroclimates, the values this brief reports range from 3.4 to 4.9. Of the 110 results — one strategy under one hydroclimate — 24 sit in a different tier band from the baseline and 86 sit in the same band; in 18 of the 22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what-the-model-shows.p.1ff9e699</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Winter-run Chinook salmon’s tier value is the value at its one location, and every row on this page is measured at that same location: the rows differ in which strategy produced the value, never in what was measured. No averaging takes place, because there is one location to average.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decomposition.p.e870ed36</w:t>
      </w:r>
    </w:p>
    <w:p>
      <w:pPr>
        <w:pStyle w:val="Heading2"/>
        <w:spacing w:after="40" w:before="280"/>
      </w:pPr>
      <w:r>
        <w:rPr>
          <w:sz w:val="24"/>
          <w:szCs w:val="24"/>
        </w:rPr>
        <w:t xml:space="preserve">22 of the 23 strategies, all five hydroclimates</w:t>
      </w:r>
    </w:p>
    <w:p>
      <w:pPr>
        <w:spacing w:after="60"/>
      </w:pPr>
      <w:r>
        <w:rPr>
          <w:rFonts w:ascii="Consolas" w:cs="Consolas" w:eastAsia="Consolas" w:hAnsi="Consolas"/>
          <w:color w:val="767171"/>
          <w:sz w:val="14"/>
          <w:szCs w:val="14"/>
        </w:rPr>
        <w:t xml:space="preserve">section id: figure — context only, not for editing</w:t>
      </w:r>
    </w:p>
    <w:p>
      <w:pPr>
        <w:pStyle w:val="Heading2"/>
        <w:spacing w:after="60" w:before="280"/>
      </w:pPr>
      <w:r>
        <w:rPr>
          <w:sz w:val="26"/>
          <w:szCs w:val="26"/>
        </w:rPr>
        <w:t xml:space="preserve">22 of the 23 strategies,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figure.h2.0da958df</w:t>
      </w:r>
    </w:p>
    <w:p>
      <w:pPr>
        <w:pStyle w:val="Heading2"/>
        <w:spacing w:after="40" w:before="280"/>
      </w:pPr>
      <w:r>
        <w:rPr>
          <w:sz w:val="24"/>
          <w:szCs w:val="24"/>
        </w:rPr>
        <w:t xml:space="preserve">The same 110 results as numbers</w:t>
      </w:r>
    </w:p>
    <w:p>
      <w:pPr>
        <w:spacing w:after="60"/>
      </w:pPr>
      <w:r>
        <w:rPr>
          <w:rFonts w:ascii="Consolas" w:cs="Consolas" w:eastAsia="Consolas" w:hAnsi="Consolas"/>
          <w:color w:val="767171"/>
          <w:sz w:val="14"/>
          <w:szCs w:val="14"/>
        </w:rPr>
        <w:t xml:space="preserve">section id: table — context only, not for editing</w:t>
      </w:r>
    </w:p>
    <w:p>
      <w:pPr>
        <w:pStyle w:val="Heading2"/>
        <w:spacing w:after="60" w:before="280"/>
      </w:pPr>
      <w:r>
        <w:rPr>
          <w:sz w:val="26"/>
          <w:szCs w:val="26"/>
        </w:rPr>
        <w:t xml:space="preserve">The same 110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table.h2.a0df76b5</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one location behind this sector, the number a strategy changes runs from 0 — Current operations, at the hydroclimate where it reaches fewest — to 1, at Current USBR operations where it reaches most. Four of them differ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reach.p.4606c2e1</w:t>
      </w:r>
    </w:p>
    <w:p>
      <w:pPr>
        <w:spacing w:after="20" w:before="100"/>
      </w:pPr>
      <w:r>
        <w:rPr>
          <w:sz w:val="21"/>
          <w:szCs w:val="21"/>
        </w:rPr>
        <w:t xml:space="preserve">Read across the five hydroclimates together, 58 of the 110 location-and-hydroclimate results reported here differ from current operations: 44 toward Tier 1, 14 toward Tier 4. The median difference over the locations counted runs from 0.1 tier units at Relax Delta salinity standards to 0.3 at Salmon-friendly flows.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reach.p.5a25095f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Winter-run Chinook salmon — you are here</w:t>
      </w:r>
    </w:p>
    <w:p>
      <w:pPr>
        <w:spacing w:after="40" w:before="40"/>
      </w:pPr>
      <w:r>
        <w:rPr>
          <w:rFonts w:ascii="Consolas" w:cs="Consolas" w:eastAsia="Consolas" w:hAnsi="Consolas"/>
          <w:color w:val="767171"/>
          <w:sz w:val="14"/>
          <w:szCs w:val="14"/>
        </w:rPr>
        <w:t xml:space="preserve">↑ ABOVE: this brief only  ·  id: related-briefs.li.f6f35fa1</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six of the 22 strategies reported here. In 16 the highest falls under a different hydroclimate. So where a strategy’s highest value falls is not settled by construction.</w:t>
      </w:r>
    </w:p>
    <w:p>
      <w:pPr>
        <w:spacing w:after="40" w:before="40"/>
      </w:pPr>
      <w:r>
        <w:rPr>
          <w:rFonts w:ascii="Consolas" w:cs="Consolas" w:eastAsia="Consolas" w:hAnsi="Consolas"/>
          <w:color w:val="767171"/>
          <w:sz w:val="14"/>
          <w:szCs w:val="14"/>
        </w:rPr>
        <w:t xml:space="preserve">↑ ABOVE: this brief only  ·  id: what-this-doesnt-say.p.07c534e9</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sector_winter-run-chinook-salmon_schema1.json,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references.p.0b1da2d7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winter-run-chinook-salmon</dc:title>
  <dc:creator>COEQWAL brief builder</dc:creator>
  <cp:lastModifiedBy>Un-named</cp:lastModifiedBy>
  <cp:revision>1</cp:revision>
  <dcterms:created xsi:type="dcterms:W3CDTF">2026-08-09T23:34:32.108Z</dcterms:created>
  <dcterms:modified xsi:type="dcterms:W3CDTF">2026-08-09T23:34:32.108Z</dcterms:modified>
</cp:coreProperties>
</file>

<file path=docProps/custom.xml><?xml version="1.0" encoding="utf-8"?>
<Properties xmlns="http://schemas.openxmlformats.org/officeDocument/2006/custom-properties" xmlns:vt="http://schemas.openxmlformats.org/officeDocument/2006/docPropsVTypes"/>
</file>