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current-operations-without-tucps. Generated from scenario_results_brief_current-operations-without-tucps_prototype_v0_3.html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current-operations-without-tucps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Current operations without TUCPs: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front.h1.4e0242f7</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33, and the operations effect in 12. The strategy’s value differs from current operations at 33 of the 279 locations reported here under the historical hydroclimate and at 36 under extreme climate stress, and across the five hydroclimates the count ranges from 33 to 57; where it does not differ, the difference from the baseline is the hydroclimate alone.</w:t>
      </w:r>
    </w:p>
    <w:p>
      <w:pPr>
        <w:spacing w:after="40" w:before="40"/>
      </w:pPr>
      <w:r>
        <w:rPr>
          <w:rFonts w:ascii="Consolas" w:cs="Consolas" w:eastAsia="Consolas" w:hAnsi="Consolas"/>
          <w:color w:val="767171"/>
          <w:sz w:val="14"/>
          <w:szCs w:val="14"/>
        </w:rPr>
        <w:t xml:space="preserve">↑ ABOVE: this brief only  ·  id: front.p.61485295</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current operations without TUCPs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what-this-is.p.1c08a53f</w:t>
      </w:r>
    </w:p>
    <w:p>
      <w:pPr>
        <w:spacing w:after="20" w:before="100"/>
      </w:pPr>
      <w:r>
        <w:rPr>
          <w:sz w:val="21"/>
          <w:szCs w:val="21"/>
        </w:rPr>
        <w:t xml:space="preserve">Against current operations, this strategy differs in one of the eight operational settings the scenario library records: TUCP actions — Not active. For the full configuration, see the current operations without TUCPs strategy brief.</w:t>
      </w:r>
    </w:p>
    <w:p>
      <w:pPr>
        <w:spacing w:after="40" w:before="40"/>
      </w:pPr>
      <w:r>
        <w:rPr>
          <w:rFonts w:ascii="Consolas" w:cs="Consolas" w:eastAsia="Consolas" w:hAnsi="Consolas"/>
          <w:color w:val="767171"/>
          <w:sz w:val="14"/>
          <w:szCs w:val="14"/>
        </w:rPr>
        <w:t xml:space="preserve">↑ ABOVE: this brief only  ·  id: what-this-is.p.cf1ea8e0</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1.7 to 4.8. Of the 45 results — one sector under one hydroclimate — 22 sit in a different tier band from that sector’s baseline value and 23 sit in the same band; in eight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what-the-model-shows.p.af3bfa85</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6–19 of the 74 Community water systems locations, 5–17 of the 132 Agriculture locations, as few as 2 and as many as all 17 Environmental flows locations, 0 of the one Bay-Delta estuary ecology location, 0 of the one Winter-run Chinook salmon location, 0 of the 2 Freshwater for Delta exports locations, as few as 0 and as many as all 2 Freshwater for in-Delta uses locations, 1–3 of the 8 Reservoir storage locations and 2–12 of the 42 Groundwater storage locations, depending on the hydroclimate — 33 to 57 of the 279 locations reported here. A sector where few locations differ therefore shows a small sector-level difference even when the locations that do differ move by a full tier or more. Read across the five hydroclimates together, 225 of the 1,395 location-and-hydroclimate results reported here differ from current operations: 41 toward Tier 1, 184 toward Tier 4. The median difference over the locations counted runs from 0.1 tier units at Agriculture to 0.7 at Environmental flows. The locations that differ do not all differ in the same direction: in 13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reach.p.5dcfadec</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Current operations without TUCPs strategy brief.</w:t>
      </w:r>
    </w:p>
    <w:p>
      <w:pPr>
        <w:spacing w:after="40" w:before="40"/>
      </w:pPr>
      <w:r>
        <w:rPr>
          <w:rFonts w:ascii="Consolas" w:cs="Consolas" w:eastAsia="Consolas" w:hAnsi="Consolas"/>
          <w:color w:val="767171"/>
          <w:sz w:val="14"/>
          <w:szCs w:val="14"/>
        </w:rPr>
        <w:t xml:space="preserve">↑ ABOVE: this brief only  ·  id: related-briefs.p.09aa13d3</w:t>
      </w:r>
    </w:p>
    <w:p>
      <w:pPr>
        <w:spacing w:after="20" w:before="60"/>
        <w:ind w:left="360"/>
      </w:pPr>
      <w:r>
        <w:rPr>
          <w:sz w:val="21"/>
          <w:szCs w:val="21"/>
        </w:rPr>
        <w:t xml:space="preserve">— Current operations without TUCPs — you are here</w:t>
      </w:r>
    </w:p>
    <w:p>
      <w:pPr>
        <w:spacing w:after="40" w:before="40"/>
      </w:pPr>
      <w:r>
        <w:rPr>
          <w:rFonts w:ascii="Consolas" w:cs="Consolas" w:eastAsia="Consolas" w:hAnsi="Consolas"/>
          <w:color w:val="767171"/>
          <w:sz w:val="14"/>
          <w:szCs w:val="14"/>
        </w:rPr>
        <w:t xml:space="preserve">↑ ABOVE: this brief only  ·  id: related-briefs.li.e40bec49</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s0021 / s0020; Moderate s0135 / s0134; Moderate-high s0049 / s0047; High s0058 / s0056; Extreme s0109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references.p.30b24dcd</w:t>
      </w:r>
    </w:p>
    <w:p>
      <w:pPr>
        <w:spacing w:after="20" w:before="100"/>
      </w:pPr>
      <w:r>
        <w:rPr>
          <w:sz w:val="21"/>
          <w:szCs w:val="21"/>
        </w:rPr>
        <w:t xml:space="preserve">Companion data file: results_current-operations-without-tucps_schema1.json,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references.p.6d49edae</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current operations without TUCPs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explore-further.p.8c3ee63f</w:t>
      </w:r>
    </w:p>
    <w:p>
      <w:pPr>
        <w:spacing w:after="20" w:before="100"/>
      </w:pPr>
      <w:r>
        <w:rPr>
          <w:sz w:val="21"/>
          <w:szCs w:val="21"/>
        </w:rPr>
        <w:t xml:space="preserve">Open current operations without TUCPs in the data explorer.</w:t>
      </w:r>
    </w:p>
    <w:p>
      <w:pPr>
        <w:spacing w:after="40" w:before="40"/>
      </w:pPr>
      <w:r>
        <w:rPr>
          <w:rFonts w:ascii="Consolas" w:cs="Consolas" w:eastAsia="Consolas" w:hAnsi="Consolas"/>
          <w:color w:val="767171"/>
          <w:sz w:val="14"/>
          <w:szCs w:val="14"/>
        </w:rPr>
        <w:t xml:space="preserve">↑ ABOVE: this brief only  ·  id: explore-further.p.a5d3a3d3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current-operations-without-tucps</dc:title>
  <dc:creator>COEQWAL brief builder</dc:creator>
  <cp:lastModifiedBy>Un-named</cp:lastModifiedBy>
  <cp:revision>1</cp:revision>
  <dcterms:created xsi:type="dcterms:W3CDTF">2026-08-09T23:34:31.943Z</dcterms:created>
  <dcterms:modified xsi:type="dcterms:W3CDTF">2026-08-09T23:34:31.943Z</dcterms:modified>
</cp:coreProperties>
</file>

<file path=docProps/custom.xml><?xml version="1.0" encoding="utf-8"?>
<Properties xmlns="http://schemas.openxmlformats.org/officeDocument/2006/custom-properties" xmlns:vt="http://schemas.openxmlformats.org/officeDocument/2006/docPropsVTypes"/>
</file>