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current-usbr-operations-without-tucps. Generated from scenario_results_brief_current-usbr-operations-without-tucps_prototype_v0_3.html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current-usbr-operations-without-tucps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Current USBR operations without TUCPs: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front.h1.31c00596</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31, and the operations effect in 14. The strategy’s value differs from current operations at 100 of the 279 locations reported here under the historical hydroclimate and at 125 under extreme climate stress, and across the five hydroclimates the count ranges from 100 to 139; where it does not differ, the difference from the baseline is the hydroclimate alone. Freshwater for Delta exports is the clearest case of the two effects running opposite ways: under high climate stress the hydroclimate contributes +1.1 and the strategy −0.2, leaving a difference from the baseline of +0.9.</w:t>
      </w:r>
    </w:p>
    <w:p>
      <w:pPr>
        <w:spacing w:after="40" w:before="40"/>
      </w:pPr>
      <w:r>
        <w:rPr>
          <w:rFonts w:ascii="Consolas" w:cs="Consolas" w:eastAsia="Consolas" w:hAnsi="Consolas"/>
          <w:color w:val="767171"/>
          <w:sz w:val="14"/>
          <w:szCs w:val="14"/>
        </w:rPr>
        <w:t xml:space="preserve">↑ ABOVE: this brief only  ·  id: front.p.1ec982c4</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current USBR operations without TUCPs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what-this-is.p.696b498c</w:t>
      </w:r>
    </w:p>
    <w:p>
      <w:pPr>
        <w:spacing w:after="20" w:before="100"/>
      </w:pPr>
      <w:r>
        <w:rPr>
          <w:sz w:val="21"/>
          <w:szCs w:val="21"/>
        </w:rPr>
        <w:t xml:space="preserve">Against current operations, this strategy differs in two of the eight operational settings the scenario library records: TUCP actions — Not active; BiOps — 2024 USBR Alt2v1. For the full configuration, see the current USBR operations without TUCPs strategy brief.</w:t>
      </w:r>
    </w:p>
    <w:p>
      <w:pPr>
        <w:spacing w:after="40" w:before="40"/>
      </w:pPr>
      <w:r>
        <w:rPr>
          <w:rFonts w:ascii="Consolas" w:cs="Consolas" w:eastAsia="Consolas" w:hAnsi="Consolas"/>
          <w:color w:val="767171"/>
          <w:sz w:val="14"/>
          <w:szCs w:val="14"/>
        </w:rPr>
        <w:t xml:space="preserve">↑ ABOVE: this brief only  ·  id: what-this-is.p.d75184e7</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1.8 to 4.9. Of the 45 results — one sector under one hydroclimate — 21 sit in a different tier band from that sector’s baseline value and 24 sit in the same band; in all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what-the-model-shows.p.8cac700b</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16–38 of the 74 Community water systems locations, 28–44 of the 132 Agriculture locations, 4–14 of the 17 Environmental flows locations, 0 of the one Bay-Delta estuary ecology location, the one Winter-run Chinook salmon location under some hydroclimates and not others, as few as 0 and as many as all 2 Freshwater for Delta exports locations, as few as 0 and as many as all 2 Freshwater for in-Delta uses locations, 3–7 of the 8 Reservoir storage locations and 37–39 of the 42 Groundwater storage locations, depending on the hydroclimate — 100 to 139 of the 279 locations reported here. A sector where few locations differ therefore shows a small sector-level difference even when the locations that do differ move by a full tier or more. Read across the five hydroclimates together, 578 of the 1,395 location-and-hydroclimate results reported here differ from current operations: 234 toward Tier 1, 344 toward Tier 4. The median difference over the locations counted runs from 0.1 tier units at Winter-run Chinook salmon to 1.0 at Groundwater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reach.p.923b869f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Current USBR operations without TUCPs strategy brief.</w:t>
      </w:r>
    </w:p>
    <w:p>
      <w:pPr>
        <w:spacing w:after="40" w:before="40"/>
      </w:pPr>
      <w:r>
        <w:rPr>
          <w:rFonts w:ascii="Consolas" w:cs="Consolas" w:eastAsia="Consolas" w:hAnsi="Consolas"/>
          <w:color w:val="767171"/>
          <w:sz w:val="14"/>
          <w:szCs w:val="14"/>
        </w:rPr>
        <w:t xml:space="preserve">↑ ABOVE: this brief only  ·  id: related-briefs.p.b4d37962</w:t>
      </w:r>
    </w:p>
    <w:p>
      <w:pPr>
        <w:spacing w:after="20" w:before="60"/>
        <w:ind w:left="360"/>
      </w:pPr>
      <w:r>
        <w:rPr>
          <w:sz w:val="21"/>
          <w:szCs w:val="21"/>
        </w:rPr>
        <w:t xml:space="preserve">— Current USBR operations without TUCPs — you are here</w:t>
      </w:r>
    </w:p>
    <w:p>
      <w:pPr>
        <w:spacing w:after="40" w:before="40"/>
      </w:pPr>
      <w:r>
        <w:rPr>
          <w:rFonts w:ascii="Consolas" w:cs="Consolas" w:eastAsia="Consolas" w:hAnsi="Consolas"/>
          <w:color w:val="767171"/>
          <w:sz w:val="14"/>
          <w:szCs w:val="14"/>
        </w:rPr>
        <w:t xml:space="preserve">↑ ABOVE: this brief only  ·  id: related-briefs.li.c9ad6f2c</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s0023 / s0020; Moderate s0136 / s0134; Moderate-high s0051 / s0047; High s0060 / s0056; Extreme s0110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references.p.685f22ae</w:t>
      </w:r>
    </w:p>
    <w:p>
      <w:pPr>
        <w:spacing w:after="20" w:before="100"/>
      </w:pPr>
      <w:r>
        <w:rPr>
          <w:sz w:val="21"/>
          <w:szCs w:val="21"/>
        </w:rPr>
        <w:t xml:space="preserve">Companion data file: results_current-usbr-operations-without-tucps_schema1.json,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references.p.b28b304e</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current USBR operations without TUCPs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explore-further.p.18cfef14</w:t>
      </w:r>
    </w:p>
    <w:p>
      <w:pPr>
        <w:spacing w:after="20" w:before="100"/>
      </w:pPr>
      <w:r>
        <w:rPr>
          <w:sz w:val="21"/>
          <w:szCs w:val="21"/>
        </w:rPr>
        <w:t xml:space="preserve">Open current USBR operations without TUCPs in the data explorer.</w:t>
      </w:r>
    </w:p>
    <w:p>
      <w:pPr>
        <w:spacing w:after="40" w:before="40"/>
      </w:pPr>
      <w:r>
        <w:rPr>
          <w:rFonts w:ascii="Consolas" w:cs="Consolas" w:eastAsia="Consolas" w:hAnsi="Consolas"/>
          <w:color w:val="767171"/>
          <w:sz w:val="14"/>
          <w:szCs w:val="14"/>
        </w:rPr>
        <w:t xml:space="preserve">↑ ABOVE: this brief only  ·  id: explore-further.p.67136cca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current-usbr-operations-without-tucps</dc:title>
  <dc:creator>COEQWAL brief builder</dc:creator>
  <cp:lastModifiedBy>Un-named</cp:lastModifiedBy>
  <cp:revision>1</cp:revision>
  <dcterms:created xsi:type="dcterms:W3CDTF">2026-08-09T23:34:31.950Z</dcterms:created>
  <dcterms:modified xsi:type="dcterms:W3CDTF">2026-08-09T23:34:31.950Z</dcterms:modified>
</cp:coreProperties>
</file>

<file path=docProps/custom.xml><?xml version="1.0" encoding="utf-8"?>
<Properties xmlns="http://schemas.openxmlformats.org/officeDocument/2006/custom-properties" xmlns:vt="http://schemas.openxmlformats.org/officeDocument/2006/docPropsVTypes"/>
</file>