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current-usbr-operations. Generated from scenario_results_brief_current-usbr-operations_prototype_v0_3.html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current-usbr-operations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Current USBR operations: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front.h1.42307a36</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30, and the operations effect in 15. The strategy’s value differs from current operations at 92 of the 279 locations reported here under the historical hydroclimate and at 118 under extreme climate stress, and across the five hydroclimates the count ranges from 92 to 131; where it does not differ, the difference from the baseline is the hydroclimate alone. Freshwater for Delta exports is the clearest case of the two effects running opposite ways: under moderate climate stress the hydroclimate contributes +0.4 and the strategy −0.2, leaving a difference from the baseline of +0.2.</w:t>
      </w:r>
    </w:p>
    <w:p>
      <w:pPr>
        <w:spacing w:after="40" w:before="40"/>
      </w:pPr>
      <w:r>
        <w:rPr>
          <w:rFonts w:ascii="Consolas" w:cs="Consolas" w:eastAsia="Consolas" w:hAnsi="Consolas"/>
          <w:color w:val="767171"/>
          <w:sz w:val="14"/>
          <w:szCs w:val="14"/>
        </w:rPr>
        <w:t xml:space="preserve">↑ ABOVE: this brief only  ·  id: front.p.4196bdbd</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current USBR operations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what-this-is.p.a84e45d6</w:t>
      </w:r>
    </w:p>
    <w:p>
      <w:pPr>
        <w:spacing w:after="20" w:before="100"/>
      </w:pPr>
      <w:r>
        <w:rPr>
          <w:sz w:val="21"/>
          <w:szCs w:val="21"/>
        </w:rPr>
        <w:t xml:space="preserve">Against current operations, this strategy differs in one of the eight operational settings the scenario library records: BiOps — 2024 USBR Alt2v1. For the full configuration, see the current USBR operations strategy brief.</w:t>
      </w:r>
    </w:p>
    <w:p>
      <w:pPr>
        <w:spacing w:after="40" w:before="40"/>
      </w:pPr>
      <w:r>
        <w:rPr>
          <w:rFonts w:ascii="Consolas" w:cs="Consolas" w:eastAsia="Consolas" w:hAnsi="Consolas"/>
          <w:color w:val="767171"/>
          <w:sz w:val="14"/>
          <w:szCs w:val="14"/>
        </w:rPr>
        <w:t xml:space="preserve">↑ ABOVE: this brief only  ·  id: what-this-is.p.2538faba</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1.8 to 4.9. Of the 45 results — one sector under one hydroclimate — 21 sit in a different tier band from that sector’s baseline value and 24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what-the-model-shows.p.0b162337</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13–34 of the 74 Community water systems locations, 24–37 of the 132 Agriculture locations, 3–16 of the 17 Environmental flows locations, 0 of the one Bay-Delta estuary ecology location, the one Winter-run Chinook salmon location under some hydroclimates and not others, as few as 0 and as many as all 2 Freshwater for Delta exports locations, as few as 0 and as many as all 2 Freshwater for in-Delta uses locations, 3–7 of the 8 Reservoir storage locations and 37–39 of the 42 Groundwater storage locations, depending on the hydroclimate — 92 to 131 of the 279 locations reported here. A sector where few locations differ therefore shows a small sector-level difference even when the locations that do differ move by a full tier or more. Read across the five hydroclimates together, 551 of the 1,395 location-and-hydroclimate results reported here differ from current operations: 246 toward Tier 1, 305 toward Tier 4. The median difference over the locations counted runs from 0.1 tier units at Freshwater for in-Delta uses to 1.1 at Groundwater storage. The locations that differ do not all differ in the same direction: in 23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reach.p.875a35c9</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Current USBR operations strategy brief.</w:t>
      </w:r>
    </w:p>
    <w:p>
      <w:pPr>
        <w:spacing w:after="40" w:before="40"/>
      </w:pPr>
      <w:r>
        <w:rPr>
          <w:rFonts w:ascii="Consolas" w:cs="Consolas" w:eastAsia="Consolas" w:hAnsi="Consolas"/>
          <w:color w:val="767171"/>
          <w:sz w:val="14"/>
          <w:szCs w:val="14"/>
        </w:rPr>
        <w:t xml:space="preserve">↑ ABOVE: this brief only  ·  id: related-briefs.p.6fa009df</w:t>
      </w:r>
    </w:p>
    <w:p>
      <w:pPr>
        <w:spacing w:after="20" w:before="60"/>
        <w:ind w:left="360"/>
      </w:pPr>
      <w:r>
        <w:rPr>
          <w:sz w:val="21"/>
          <w:szCs w:val="21"/>
        </w:rPr>
        <w:t xml:space="preserve">— Current USBR operations — you are here</w:t>
      </w:r>
    </w:p>
    <w:p>
      <w:pPr>
        <w:spacing w:after="40" w:before="40"/>
      </w:pPr>
      <w:r>
        <w:rPr>
          <w:rFonts w:ascii="Consolas" w:cs="Consolas" w:eastAsia="Consolas" w:hAnsi="Consolas"/>
          <w:color w:val="767171"/>
          <w:sz w:val="14"/>
          <w:szCs w:val="14"/>
        </w:rPr>
        <w:t xml:space="preserve">↑ ABOVE: this brief only  ·  id: related-briefs.li.6db03f38</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s0024 / s0020; Moderate s0137 / s0134; Moderate-high s0050 / s0047; High s0059 / s0056; Extreme s0111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references.p.1398c1ea</w:t>
      </w:r>
    </w:p>
    <w:p>
      <w:pPr>
        <w:spacing w:after="20" w:before="100"/>
      </w:pPr>
      <w:r>
        <w:rPr>
          <w:sz w:val="21"/>
          <w:szCs w:val="21"/>
        </w:rPr>
        <w:t xml:space="preserve">Companion data file: results_current-usbr-operations_schema1.json,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references.p.a73dd05c</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current USBR operations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explore-further.p.80f34c97</w:t>
      </w:r>
    </w:p>
    <w:p>
      <w:pPr>
        <w:spacing w:after="20" w:before="100"/>
      </w:pPr>
      <w:r>
        <w:rPr>
          <w:sz w:val="21"/>
          <w:szCs w:val="21"/>
        </w:rPr>
        <w:t xml:space="preserve">Open current USBR operations in the data explorer.</w:t>
      </w:r>
    </w:p>
    <w:p>
      <w:pPr>
        <w:spacing w:after="40" w:before="40"/>
      </w:pPr>
      <w:r>
        <w:rPr>
          <w:rFonts w:ascii="Consolas" w:cs="Consolas" w:eastAsia="Consolas" w:hAnsi="Consolas"/>
          <w:color w:val="767171"/>
          <w:sz w:val="14"/>
          <w:szCs w:val="14"/>
        </w:rPr>
        <w:t xml:space="preserve">↑ ABOVE: this brief only  ·  id: explore-further.p.56f79e72</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current-usbr-operations</dc:title>
  <dc:creator>COEQWAL brief builder</dc:creator>
  <cp:lastModifiedBy>Un-named</cp:lastModifiedBy>
  <cp:revision>1</cp:revision>
  <dcterms:created xsi:type="dcterms:W3CDTF">2026-08-09T23:34:31.957Z</dcterms:created>
  <dcterms:modified xsi:type="dcterms:W3CDTF">2026-08-09T23:34:31.957Z</dcterms:modified>
</cp:coreProperties>
</file>

<file path=docProps/custom.xml><?xml version="1.0" encoding="utf-8"?>
<Properties xmlns="http://schemas.openxmlformats.org/officeDocument/2006/custom-properties" xmlns:vt="http://schemas.openxmlformats.org/officeDocument/2006/docPropsVTypes"/>
</file>