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delta-conveyance-project. Generated from scenario_results_brief_delta-conveyance-project_prototype_v0_3.html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delta-conveyance-project — 16 of its 80 blocks. Everything else it says is shared, and is edited in the full strategy results document. Each paragraph is shown under the section it belongs to.</w:t>
      </w:r>
    </w:p>
    <w:p>
      <w:pPr>
        <w:pStyle w:val="Heading1"/>
        <w:spacing w:after="60" w:before="240"/>
      </w:pPr>
      <w:r>
        <w:rPr>
          <w:sz w:val="34"/>
          <w:szCs w:val="34"/>
        </w:rPr>
        <w:t xml:space="preserve">Delta Conveyance Project: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front.h1.39eab9e6</w:t>
      </w:r>
    </w:p>
    <w:p>
      <w:pPr>
        <w:spacing w:after="20" w:before="100"/>
      </w:pPr>
      <w:r>
        <w:rPr>
          <w:sz w:val="21"/>
          <w:szCs w:val="21"/>
        </w:rPr>
        <w:t xml:space="preserve">TL;DR. Compared with the baseline — current operations under the historical hydroclimate — this strategy’s modeled tier results differ from the baseline in all eight sectors these runs report under at least one hydroclimate. Winter-run Chinook salmon is not reported by these model runs and shown as such. Reading each sector under each hydroclimate as one result, 40 in all, the hydroclimate effect is the larger of the two in 25, and the operations effect in 15. The strategy’s value differs from current operations at 126 of the 277 locations reported here under the historical hydroclimate and at 101 under extreme climate stress, and across the five hydroclimates the count ranges from 94 to 126; where it does not differ, the difference from the baseline is the hydroclimate alone. Freshwater for Delta exports is the clearest case of the two effects running opposite ways: under moderate climate stress the hydroclimate contributes +0.4 and the strategy −0.5, leaving no net difference from the baseline.</w:t>
      </w:r>
    </w:p>
    <w:p>
      <w:pPr>
        <w:spacing w:after="40" w:before="40"/>
      </w:pPr>
      <w:r>
        <w:rPr>
          <w:rFonts w:ascii="Consolas" w:cs="Consolas" w:eastAsia="Consolas" w:hAnsi="Consolas"/>
          <w:color w:val="767171"/>
          <w:sz w:val="14"/>
          <w:szCs w:val="14"/>
        </w:rPr>
        <w:t xml:space="preserve">↑ ABOVE: this brief only  ·  id: front.p.94b27973</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Delta Conveyance Project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Eight of the nine sectors of the water system are reported under every hydroclimate. Winter-run Chinook salmon is not reported by these model runs and shown as such.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what-this-is.p.96905b15</w:t>
      </w:r>
    </w:p>
    <w:p>
      <w:pPr>
        <w:spacing w:after="20" w:before="100"/>
      </w:pPr>
      <w:r>
        <w:rPr>
          <w:sz w:val="21"/>
          <w:szCs w:val="21"/>
        </w:rPr>
        <w:t xml:space="preserve">Against current operations, this strategy differs in four of the eight operational settings the scenario library records: Land use — 2020 LandIQ, adjusted for Sacramento Valley rice fallowing as part of the voluntary agreements; BiOps — Modified versions of 2019 / 2020 ITP; Infrastructure — Delta Conveyance Project (6,000 cfs North Delta Diversion capacity); Flows — 2025 version of the voluntary agreements (VAs) as included by DWR. For the full configuration, see the Delta Conveyance Project strategy brief.</w:t>
      </w:r>
    </w:p>
    <w:p>
      <w:pPr>
        <w:spacing w:after="40" w:before="40"/>
      </w:pPr>
      <w:r>
        <w:rPr>
          <w:rFonts w:ascii="Consolas" w:cs="Consolas" w:eastAsia="Consolas" w:hAnsi="Consolas"/>
          <w:color w:val="767171"/>
          <w:sz w:val="14"/>
          <w:szCs w:val="14"/>
        </w:rPr>
        <w:t xml:space="preserve">↑ ABOVE: this brief only  ·  id: what-this-is.p.f0cf9689</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eight sectors these runs report, the modeled tier values under the baseline — current operations under the historical hydroclimate — range from 1.7 to 3.2. Read across the five hydroclimates, the values this brief reports range from 1.9 to 4.1. Of the 40 results — one sector under one hydroclimate — 22 sit in a different tier band from that sector’s baseline value and 18 sit in the same band; in all eight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what-the-model-shows.p.c39b489c</w:t>
      </w:r>
    </w:p>
    <w:p>
      <w:pPr>
        <w:pStyle w:val="Heading2"/>
        <w:spacing w:after="40" w:before="280"/>
      </w:pPr>
      <w:r>
        <w:rPr>
          <w:sz w:val="24"/>
          <w:szCs w:val="24"/>
        </w:rPr>
        <w:t xml:space="preserve">The baseline, and the two effects</w:t>
      </w:r>
    </w:p>
    <w:p>
      <w:pPr>
        <w:spacing w:after="60"/>
      </w:pPr>
      <w:r>
        <w:rPr>
          <w:rFonts w:ascii="Consolas" w:cs="Consolas" w:eastAsia="Consolas" w:hAnsi="Consolas"/>
          <w:color w:val="767171"/>
          <w:sz w:val="14"/>
          <w:szCs w:val="14"/>
        </w:rPr>
        <w:t xml:space="preserve">section id: decomposition — context only, not for editing</w:t>
      </w:r>
    </w:p>
    <w:p>
      <w:pPr>
        <w:spacing w:after="20" w:before="100"/>
      </w:pPr>
      <w:r>
        <w:rPr>
          <w:sz w:val="21"/>
          <w:szCs w:val="21"/>
        </w:rPr>
        <w:t xml:space="preserve">A sector’s tier value is the mean of the tier values at its locations. The eight sectors differ in how many locations that is. Bay-Delta estuary ecology is reported at one location, Delta-Eastside Water. Freshwater for Delta exports is reported at two locations, Harvey O. Banks Pumping Plant and C.W. "Bill" Jones Pumping Plant (formerly Tracy). Both carry the same tier value in every scenario in this ensemble. Freshwater for in-Delta uses is reported at two locations, Emmaton and Jersey Point. Both carry the same tier value in every scenario in this ensemble. The remaining five sectors are reported across 8 to 132 locations. On the figure, a square mark identifies the sectors reported at one or two locations.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decomposition.p.29f26563</w:t>
      </w:r>
    </w:p>
    <w:p>
      <w:pPr>
        <w:pStyle w:val="Heading2"/>
        <w:spacing w:after="40" w:before="280"/>
      </w:pPr>
      <w:r>
        <w:rPr>
          <w:sz w:val="24"/>
          <w:szCs w:val="24"/>
        </w:rPr>
        <w:t xml:space="preserve">Eight of the nine sectors, all five hydroclimates</w:t>
      </w:r>
    </w:p>
    <w:p>
      <w:pPr>
        <w:spacing w:after="60"/>
      </w:pPr>
      <w:r>
        <w:rPr>
          <w:rFonts w:ascii="Consolas" w:cs="Consolas" w:eastAsia="Consolas" w:hAnsi="Consolas"/>
          <w:color w:val="767171"/>
          <w:sz w:val="14"/>
          <w:szCs w:val="14"/>
        </w:rPr>
        <w:t xml:space="preserve">section id: figure — context only, not for editing</w:t>
      </w:r>
    </w:p>
    <w:p>
      <w:pPr>
        <w:pStyle w:val="Heading2"/>
        <w:spacing w:after="60" w:before="280"/>
      </w:pPr>
      <w:r>
        <w:rPr>
          <w:sz w:val="26"/>
          <w:szCs w:val="26"/>
        </w:rPr>
        <w:t xml:space="preserve">Eight of the nine sectors, all five hydroclimates</w:t>
      </w:r>
    </w:p>
    <w:p>
      <w:pPr>
        <w:spacing w:after="40"/>
      </w:pPr>
      <w:r>
        <w:rPr>
          <w:rFonts w:ascii="Consolas" w:cs="Consolas" w:eastAsia="Consolas" w:hAnsi="Consolas"/>
          <w:color w:val="767171"/>
          <w:sz w:val="14"/>
          <w:szCs w:val="14"/>
        </w:rPr>
        <w:t xml:space="preserve">section id: figure</w:t>
      </w:r>
    </w:p>
    <w:p>
      <w:pPr>
        <w:spacing w:after="40" w:before="20"/>
      </w:pPr>
      <w:r>
        <w:rPr>
          <w:rFonts w:ascii="Consolas" w:cs="Consolas" w:eastAsia="Consolas" w:hAnsi="Consolas"/>
          <w:color w:val="767171"/>
          <w:sz w:val="14"/>
          <w:szCs w:val="14"/>
        </w:rPr>
        <w:t xml:space="preserve">↑ ABOVE: heading  ·  id: figure.h2.2d035ca5</w:t>
      </w:r>
    </w:p>
    <w:p>
      <w:pPr>
        <w:pStyle w:val="Heading2"/>
        <w:spacing w:after="40" w:before="280"/>
      </w:pPr>
      <w:r>
        <w:rPr>
          <w:sz w:val="24"/>
          <w:szCs w:val="24"/>
        </w:rPr>
        <w:t xml:space="preserve">The same 40 results as numbers</w:t>
      </w:r>
    </w:p>
    <w:p>
      <w:pPr>
        <w:spacing w:after="60"/>
      </w:pPr>
      <w:r>
        <w:rPr>
          <w:rFonts w:ascii="Consolas" w:cs="Consolas" w:eastAsia="Consolas" w:hAnsi="Consolas"/>
          <w:color w:val="767171"/>
          <w:sz w:val="14"/>
          <w:szCs w:val="14"/>
        </w:rPr>
        <w:t xml:space="preserve">section id: table — context only, not for editing</w:t>
      </w:r>
    </w:p>
    <w:p>
      <w:pPr>
        <w:pStyle w:val="Heading2"/>
        <w:spacing w:after="60" w:before="280"/>
      </w:pPr>
      <w:r>
        <w:rPr>
          <w:sz w:val="26"/>
          <w:szCs w:val="26"/>
        </w:rPr>
        <w:t xml:space="preserve">The same 40 results as numbers</w:t>
      </w:r>
    </w:p>
    <w:p>
      <w:pPr>
        <w:spacing w:after="40"/>
      </w:pPr>
      <w:r>
        <w:rPr>
          <w:rFonts w:ascii="Consolas" w:cs="Consolas" w:eastAsia="Consolas" w:hAnsi="Consolas"/>
          <w:color w:val="767171"/>
          <w:sz w:val="14"/>
          <w:szCs w:val="14"/>
        </w:rPr>
        <w:t xml:space="preserve">section id: table</w:t>
      </w:r>
    </w:p>
    <w:p>
      <w:pPr>
        <w:spacing w:after="40" w:before="20"/>
      </w:pPr>
      <w:r>
        <w:rPr>
          <w:rFonts w:ascii="Consolas" w:cs="Consolas" w:eastAsia="Consolas" w:hAnsi="Consolas"/>
          <w:color w:val="767171"/>
          <w:sz w:val="14"/>
          <w:szCs w:val="14"/>
        </w:rPr>
        <w:t xml:space="preserve">↑ ABOVE: heading  ·  id: table.h2.f65df6fe</w:t>
      </w:r>
    </w:p>
    <w:p>
      <w:pPr>
        <w:pStyle w:val="Heading2"/>
        <w:spacing w:after="40" w:before="280"/>
      </w:pPr>
      <w:r>
        <w:rPr>
          <w:sz w:val="24"/>
          <w:szCs w:val="24"/>
        </w:rPr>
        <w:t xml:space="preserve">How many places a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21–38 of the 73 Community water systems locations, 33–64 of the 132 Agriculture locations, as few as 4 and as many as all 17 Environmental flows locations, 0 of the one Bay-Delta estuary ecology location, as few as 0 and as many as all 2 Freshwater for Delta exports locations, 0 of the 2 Freshwater for in-Delta uses locations, 2–7 of the 8 Reservoir storage locations and 10–20 of the 42 Groundwater storage locations, depending on the hydroclimate — 94 to 126 of the 277 locations reported here. One Community water systems location (KCWA) is not reported by these model runs, so that count is out of 73 where the rest of the set reports 74. The mean, its anchor and this count are all taken over the locations both sides of the comparison report. A sector where few locations differ therefore shows a small sector-level difference even when the locations that do differ move by a full tier or more. Read across the five hydroclimates together, 523 of the 1,385 location-and-hydroclimate results reported here differ from current operations: 134 toward Tier 1, 389 toward Tier 4. The median difference over the locations counted runs from 0.2 tier units at Groundwater storage to 0.6 at Community water systems. The locations that differ do not all differ in the same direction: in 24 of the 40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reach.p.4ada17ff</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Delta Conveyance Project strategy brief.</w:t>
      </w:r>
    </w:p>
    <w:p>
      <w:pPr>
        <w:spacing w:after="40" w:before="40"/>
      </w:pPr>
      <w:r>
        <w:rPr>
          <w:rFonts w:ascii="Consolas" w:cs="Consolas" w:eastAsia="Consolas" w:hAnsi="Consolas"/>
          <w:color w:val="767171"/>
          <w:sz w:val="14"/>
          <w:szCs w:val="14"/>
        </w:rPr>
        <w:t xml:space="preserve">↑ ABOVE: this brief only  ·  id: related-briefs.p.f6f24d2c</w:t>
      </w:r>
    </w:p>
    <w:p>
      <w:pPr>
        <w:spacing w:after="20" w:before="60"/>
        <w:ind w:left="360"/>
      </w:pPr>
      <w:r>
        <w:rPr>
          <w:sz w:val="21"/>
          <w:szCs w:val="21"/>
        </w:rPr>
        <w:t xml:space="preserve">— Delta Conveyance Project — you are here</w:t>
      </w:r>
    </w:p>
    <w:p>
      <w:pPr>
        <w:spacing w:after="40" w:before="40"/>
      </w:pPr>
      <w:r>
        <w:rPr>
          <w:rFonts w:ascii="Consolas" w:cs="Consolas" w:eastAsia="Consolas" w:hAnsi="Consolas"/>
          <w:color w:val="767171"/>
          <w:sz w:val="14"/>
          <w:szCs w:val="14"/>
        </w:rPr>
        <w:t xml:space="preserve">↑ ABOVE: this brief only  ·  id: related-briefs.li.77dcdd9f</w:t>
      </w:r>
    </w:p>
    <w:p>
      <w:pPr>
        <w:pStyle w:val="Heading2"/>
        <w:spacing w:after="40" w:before="280"/>
      </w:pPr>
      <w:r>
        <w:rPr>
          <w:sz w:val="24"/>
          <w:szCs w:val="24"/>
        </w:rPr>
        <w:t xml:space="preserve">What this doesn’t say</w:t>
      </w:r>
    </w:p>
    <w:p>
      <w:pPr>
        <w:spacing w:after="60"/>
      </w:pPr>
      <w:r>
        <w:rPr>
          <w:rFonts w:ascii="Consolas" w:cs="Consolas" w:eastAsia="Consolas" w:hAnsi="Consolas"/>
          <w:color w:val="767171"/>
          <w:sz w:val="14"/>
          <w:szCs w:val="14"/>
        </w:rPr>
        <w:t xml:space="preserve">section id: what-this-doesnt-say — context only, not for editing</w:t>
      </w:r>
    </w:p>
    <w:p>
      <w:pPr>
        <w:spacing w:after="20" w:before="100"/>
      </w:pPr>
      <w:r>
        <w:rPr>
          <w:sz w:val="21"/>
          <w:szCs w:val="21"/>
        </w:rPr>
        <w:t xml:space="preserve">Extreme climate stress holds the single highest of a sector’s five values in all eight sectors reported here.</w:t>
      </w:r>
    </w:p>
    <w:p>
      <w:pPr>
        <w:spacing w:after="40" w:before="40"/>
      </w:pPr>
      <w:r>
        <w:rPr>
          <w:rFonts w:ascii="Consolas" w:cs="Consolas" w:eastAsia="Consolas" w:hAnsi="Consolas"/>
          <w:color w:val="767171"/>
          <w:sz w:val="14"/>
          <w:szCs w:val="14"/>
        </w:rPr>
        <w:t xml:space="preserve">↑ ABOVE: this brief only  ·  id: what-this-doesnt-say.p.4506553d</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s0065 / s0020; Moderate s0157 / s0134; Moderate-high s0085 / s0047; High s0105 / s0056; Extreme s0131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references.p.70731006</w:t>
      </w:r>
    </w:p>
    <w:p>
      <w:pPr>
        <w:spacing w:after="20" w:before="100"/>
      </w:pPr>
      <w:r>
        <w:rPr>
          <w:sz w:val="21"/>
          <w:szCs w:val="21"/>
        </w:rPr>
        <w:t xml:space="preserve">Companion data file: results_delta-conveyance-project_schema1.json,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references.p.fc56ddfc</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Delta Conveyance Project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explore-further.p.8265aaa8</w:t>
      </w:r>
    </w:p>
    <w:p>
      <w:pPr>
        <w:spacing w:after="20" w:before="100"/>
      </w:pPr>
      <w:r>
        <w:rPr>
          <w:sz w:val="21"/>
          <w:szCs w:val="21"/>
        </w:rPr>
        <w:t xml:space="preserve">Open Delta Conveyance Project in the data explorer.</w:t>
      </w:r>
    </w:p>
    <w:p>
      <w:pPr>
        <w:spacing w:after="40" w:before="40"/>
      </w:pPr>
      <w:r>
        <w:rPr>
          <w:rFonts w:ascii="Consolas" w:cs="Consolas" w:eastAsia="Consolas" w:hAnsi="Consolas"/>
          <w:color w:val="767171"/>
          <w:sz w:val="14"/>
          <w:szCs w:val="14"/>
        </w:rPr>
        <w:t xml:space="preserve">↑ ABOVE: this brief only  ·  id: explore-further.p.55b2d1f1</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delta-conveyance-project</dc:title>
  <dc:creator>COEQWAL brief builder</dc:creator>
  <cp:lastModifiedBy>Un-named</cp:lastModifiedBy>
  <cp:revision>1</cp:revision>
  <dcterms:created xsi:type="dcterms:W3CDTF">2026-08-09T23:34:31.962Z</dcterms:created>
  <dcterms:modified xsi:type="dcterms:W3CDTF">2026-08-09T23:34:31.962Z</dcterms:modified>
</cp:coreProperties>
</file>

<file path=docProps/custom.xml><?xml version="1.0" encoding="utf-8"?>
<Properties xmlns="http://schemas.openxmlformats.org/officeDocument/2006/custom-properties" xmlns:vt="http://schemas.openxmlformats.org/officeDocument/2006/docPropsVTypes"/>
</file>