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functional-environmental-flows-with-groundwater-regulations. Generated from scenario_results_brief_functional-environmental-flows-with-groundwater-regulations_prototype_v0_3.html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functional-environmental-flows-with-groundwater-regulations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Functional environmental flows with groundwater regulations: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front.h1.235f1a59</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17, and the operations effect in 28. The strategy’s value differs from current operations at 195 of the 279 locations reported here under the historical hydroclimate and at 205 under extreme climate stress, and across the five hydroclimates the count ranges from 185 to 205; where it does not differ, the difference from the baseline is the hydroclimate alone. Environmental flows is the clearest case of the two effects running opposite ways: under extreme climate stress the hydroclimate contributes +1.4 and the strategy −1.5, leaving a difference from the baseline of −0.1.</w:t>
      </w:r>
    </w:p>
    <w:p>
      <w:pPr>
        <w:spacing w:after="40" w:before="40"/>
      </w:pPr>
      <w:r>
        <w:rPr>
          <w:rFonts w:ascii="Consolas" w:cs="Consolas" w:eastAsia="Consolas" w:hAnsi="Consolas"/>
          <w:color w:val="767171"/>
          <w:sz w:val="14"/>
          <w:szCs w:val="14"/>
        </w:rPr>
        <w:t xml:space="preserve">↑ ABOVE: this brief only  ·  id: front.p.2d78e329</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functional environmental flows with groundwater regulations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what-this-is.p.5a717a38</w:t>
      </w:r>
    </w:p>
    <w:p>
      <w:pPr>
        <w:spacing w:after="20" w:before="100"/>
      </w:pPr>
      <w:r>
        <w:rPr>
          <w:sz w:val="21"/>
          <w:szCs w:val="21"/>
        </w:rPr>
        <w:t xml:space="preserve">Against current operations, this strategy differs in three of the eight operational settings the scenario library records: SGMA actions — Reduce irrigated acreage for the entire Central Valley; Land use — 2020 LandIQ with reduced agricultural acreage in selected areas across the Central Valley; Flows — Functional flow requirements at 17 locations (tributaries plus Delta). For the full configuration, see the functional environmental flows with groundwater regulations strategy brief.</w:t>
      </w:r>
    </w:p>
    <w:p>
      <w:pPr>
        <w:spacing w:after="40" w:before="40"/>
      </w:pPr>
      <w:r>
        <w:rPr>
          <w:rFonts w:ascii="Consolas" w:cs="Consolas" w:eastAsia="Consolas" w:hAnsi="Consolas"/>
          <w:color w:val="767171"/>
          <w:sz w:val="14"/>
          <w:szCs w:val="14"/>
        </w:rPr>
        <w:t xml:space="preserve">↑ ABOVE: this brief only  ·  id: what-this-is.p.388a9e34</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1.1 to 4.9. Of the 45 results — one sector under one hydroclimate — 29 sit in a different tier band from that sector’s baseline value and 16 sit in the same band; in five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what-the-model-shows.p.3d6fc24f</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24–43 of the 74 Community water systems locations, 94–113 of the 132 Agriculture locations, as few as 16 and as many as all 17 Environmental flows locations, the one Bay-Delta estuary ecology location, the one Winter-run Chinook salmon location under some hydroclimates and not others, as few as 0 and as many as all 2 Freshwater for Delta exports locations, all 2 Freshwater for in-Delta uses locations, all 8 Reservoir storage locations and 22–31 of the 42 Groundwater storage locations, depending on the hydroclimate — 185 to 205 of the 279 locations reported here. A sector where few locations differ therefore shows a small sector-level difference even when the locations that do differ move by a full tier or more. Read across the five hydroclimates together, 968 of the 1,395 location-and-hydroclimate results reported here differ from current operations: 358 toward Tier 1, 610 toward Tier 4. The median difference over the locations counted runs from 0.2 tier units at Bay-Delta estuary ecology to 2.0 at Reservoir storage. The locations that differ do not all differ in the same direction: in 24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reach.p.d01cc4f1</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Functional environmental flows with groundwater regulations strategy brief.</w:t>
      </w:r>
    </w:p>
    <w:p>
      <w:pPr>
        <w:spacing w:after="40" w:before="40"/>
      </w:pPr>
      <w:r>
        <w:rPr>
          <w:rFonts w:ascii="Consolas" w:cs="Consolas" w:eastAsia="Consolas" w:hAnsi="Consolas"/>
          <w:color w:val="767171"/>
          <w:sz w:val="14"/>
          <w:szCs w:val="14"/>
        </w:rPr>
        <w:t xml:space="preserve">↑ ABOVE: this brief only  ·  id: related-briefs.p.a00ccd17</w:t>
      </w:r>
    </w:p>
    <w:p>
      <w:pPr>
        <w:spacing w:after="20" w:before="60"/>
        <w:ind w:left="360"/>
      </w:pPr>
      <w:r>
        <w:rPr>
          <w:sz w:val="21"/>
          <w:szCs w:val="21"/>
        </w:rPr>
        <w:t xml:space="preserve">— Functional environmental flows with groundwater regulations — you are here</w:t>
      </w:r>
    </w:p>
    <w:p>
      <w:pPr>
        <w:spacing w:after="40" w:before="40"/>
      </w:pPr>
      <w:r>
        <w:rPr>
          <w:rFonts w:ascii="Consolas" w:cs="Consolas" w:eastAsia="Consolas" w:hAnsi="Consolas"/>
          <w:color w:val="767171"/>
          <w:sz w:val="14"/>
          <w:szCs w:val="14"/>
        </w:rPr>
        <w:t xml:space="preserve">↑ ABOVE: this brief only  ·  id: related-briefs.li.319e2516</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s0032 / s0020; Moderate s0145 / s0134; Moderate-high s0073 / s0047; High s0093 / s0056; Extreme s0119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references.p.d3ca30af</w:t>
      </w:r>
    </w:p>
    <w:p>
      <w:pPr>
        <w:spacing w:after="20" w:before="100"/>
      </w:pPr>
      <w:r>
        <w:rPr>
          <w:sz w:val="21"/>
          <w:szCs w:val="21"/>
        </w:rPr>
        <w:t xml:space="preserve">Companion data file: results_functional-environmental-flows-with-groundwater-regulations_schema1.json,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references.p.51b909c3</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functional environmental flows with groundwater regulations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explore-further.p.3b81f1bf</w:t>
      </w:r>
    </w:p>
    <w:p>
      <w:pPr>
        <w:spacing w:after="20" w:before="100"/>
      </w:pPr>
      <w:r>
        <w:rPr>
          <w:sz w:val="21"/>
          <w:szCs w:val="21"/>
        </w:rPr>
        <w:t xml:space="preserve">Open functional environmental flows with groundwater regulations in the data explorer.</w:t>
      </w:r>
    </w:p>
    <w:p>
      <w:pPr>
        <w:spacing w:after="40" w:before="40"/>
      </w:pPr>
      <w:r>
        <w:rPr>
          <w:rFonts w:ascii="Consolas" w:cs="Consolas" w:eastAsia="Consolas" w:hAnsi="Consolas"/>
          <w:color w:val="767171"/>
          <w:sz w:val="14"/>
          <w:szCs w:val="14"/>
        </w:rPr>
        <w:t xml:space="preserve">↑ ABOVE: this brief only  ·  id: explore-further.p.29d038ce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functional-environmental-flows-with-groundwater-regulations</dc:title>
  <dc:creator>COEQWAL brief builder</dc:creator>
  <cp:lastModifiedBy>Un-named</cp:lastModifiedBy>
  <cp:revision>1</cp:revision>
  <dcterms:created xsi:type="dcterms:W3CDTF">2026-08-09T23:34:31.970Z</dcterms:created>
  <dcterms:modified xsi:type="dcterms:W3CDTF">2026-08-09T23:34:31.970Z</dcterms:modified>
</cp:coreProperties>
</file>

<file path=docProps/custom.xml><?xml version="1.0" encoding="utf-8"?>
<Properties xmlns="http://schemas.openxmlformats.org/officeDocument/2006/custom-properties" xmlns:vt="http://schemas.openxmlformats.org/officeDocument/2006/docPropsVTypes"/>
</file>