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functional-environmental-flows. Generated from scenario_results_brief_functional-environmental-flows_prototype_v0_3.html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functional-environmental-flows — 12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Functional environmental flows: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front.h1.b015912a</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25, and the operations effect in 20. The strategy’s value differs from current operations at 126 of the 279 locations reported here under the historical hydroclimate and at 156 under extreme climate stress, and across the five hydroclimates the count ranges from 126 to 156; where it does not differ, the difference from the baseline is the hydroclimate alone. Environmental flows is the clearest case of the two effects running opposite ways: under extreme climate stress the hydroclimate contributes +1.4 and the strategy −1.3, leaving no net difference from the baseline.</w:t>
      </w:r>
    </w:p>
    <w:p>
      <w:pPr>
        <w:spacing w:after="40" w:before="40"/>
      </w:pPr>
      <w:r>
        <w:rPr>
          <w:rFonts w:ascii="Consolas" w:cs="Consolas" w:eastAsia="Consolas" w:hAnsi="Consolas"/>
          <w:color w:val="767171"/>
          <w:sz w:val="14"/>
          <w:szCs w:val="14"/>
        </w:rPr>
        <w:t xml:space="preserve">↑ ABOVE: this brief only  ·  id: front.p.e97e7422</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functional environmental flows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what-this-is.p.7c84b04a</w:t>
      </w:r>
    </w:p>
    <w:p>
      <w:pPr>
        <w:spacing w:after="20" w:before="100"/>
      </w:pPr>
      <w:r>
        <w:rPr>
          <w:sz w:val="21"/>
          <w:szCs w:val="21"/>
        </w:rPr>
        <w:t xml:space="preserve">Against current operations, this strategy differs in two of the eight operational settings the scenario library records: BiOps — Modified versions of 2019 / 2020 ITP; Flows — Functional flows on Sacramento and San Joaquin tributaries (main-stem and Delta-outflow requirements not included). For the full configuration, see the functional environmental flows strategy brief.</w:t>
      </w:r>
    </w:p>
    <w:p>
      <w:pPr>
        <w:spacing w:after="40" w:before="40"/>
      </w:pPr>
      <w:r>
        <w:rPr>
          <w:rFonts w:ascii="Consolas" w:cs="Consolas" w:eastAsia="Consolas" w:hAnsi="Consolas"/>
          <w:color w:val="767171"/>
          <w:sz w:val="14"/>
          <w:szCs w:val="14"/>
        </w:rPr>
        <w:t xml:space="preserve">↑ ABOVE: this brief only  ·  id: what-this-is.p.9a68d5ba</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1.6 to 4.9. Of the 45 results — one sector under one hydroclimate — 25 sit in a different tier band from that sector’s baseline value and 20 sit in the same band; in seven of the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what-the-model-shows.p.68977ea6</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21–42 of the 74 Community water systems locations, 59–68 of the 132 Agriculture locations, 14–16 of the 17 Environmental flows locations, the one Bay-Delta estuary ecology location under some hydroclimates and not others, the one Winter-run Chinook salmon location under some hydroclimates and not others, as few as 0 and as many as all 2 Freshwater for Delta exports locations, as few as 0 and as many as all 2 Freshwater for in-Delta uses locations, all 8 Reservoir storage locations and 16–23 of the 42 Groundwater storage locations, depending on the hydroclimate — 126 to 156 of the 279 locations reported here. A sector where few locations differ therefore shows a small sector-level difference even when the locations that do differ move by a full tier or more. Read across the five hydroclimates together, 700 of the 1,395 location-and-hydroclimate results reported here differ from current operations: 270 toward Tier 1, 430 toward Tier 4. The median difference over the locations counted runs from 0.1 tier units at Bay-Delta estuary ecology to 1.9 at Reservoir storage. The locations that differ do not all differ in the same direction: in 23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reach.p.e5a442a7</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Functional environmental flows strategy brief.</w:t>
      </w:r>
    </w:p>
    <w:p>
      <w:pPr>
        <w:spacing w:after="40" w:before="40"/>
      </w:pPr>
      <w:r>
        <w:rPr>
          <w:rFonts w:ascii="Consolas" w:cs="Consolas" w:eastAsia="Consolas" w:hAnsi="Consolas"/>
          <w:color w:val="767171"/>
          <w:sz w:val="14"/>
          <w:szCs w:val="14"/>
        </w:rPr>
        <w:t xml:space="preserve">↑ ABOVE: this brief only  ·  id: related-briefs.p.33b3d6f9</w:t>
      </w:r>
    </w:p>
    <w:p>
      <w:pPr>
        <w:spacing w:after="20" w:before="60"/>
        <w:ind w:left="360"/>
      </w:pPr>
      <w:r>
        <w:rPr>
          <w:sz w:val="21"/>
          <w:szCs w:val="21"/>
        </w:rPr>
        <w:t xml:space="preserve">— Functional environmental flows — you are here</w:t>
      </w:r>
    </w:p>
    <w:p>
      <w:pPr>
        <w:spacing w:after="40" w:before="40"/>
      </w:pPr>
      <w:r>
        <w:rPr>
          <w:rFonts w:ascii="Consolas" w:cs="Consolas" w:eastAsia="Consolas" w:hAnsi="Consolas"/>
          <w:color w:val="767171"/>
          <w:sz w:val="14"/>
          <w:szCs w:val="14"/>
        </w:rPr>
        <w:t xml:space="preserve">↑ ABOVE: this brief only  ·  id: related-briefs.li.ce634fb0</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s0046 / s0020; Moderate s0156 / s0134; Moderate-high s0084 / s0047; High s0104 / s0056; Extreme s0130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references.p.6327e7a6</w:t>
      </w:r>
    </w:p>
    <w:p>
      <w:pPr>
        <w:spacing w:after="20" w:before="100"/>
      </w:pPr>
      <w:r>
        <w:rPr>
          <w:sz w:val="21"/>
          <w:szCs w:val="21"/>
        </w:rPr>
        <w:t xml:space="preserve">Companion data file: results_functional-environmental-flows_schema1.json,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 Supersedes v0_2, which anchored on current operations under the matched hydroclimate alone.</w:t>
      </w:r>
    </w:p>
    <w:p>
      <w:pPr>
        <w:spacing w:after="40" w:before="40"/>
      </w:pPr>
      <w:r>
        <w:rPr>
          <w:rFonts w:ascii="Consolas" w:cs="Consolas" w:eastAsia="Consolas" w:hAnsi="Consolas"/>
          <w:color w:val="767171"/>
          <w:sz w:val="14"/>
          <w:szCs w:val="14"/>
        </w:rPr>
        <w:t xml:space="preserve">↑ ABOVE: this brief only  ·  id: references.p.68c46c7f</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functional environmental flows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explore-further.p.3bd09d55</w:t>
      </w:r>
    </w:p>
    <w:p>
      <w:pPr>
        <w:spacing w:after="20" w:before="100"/>
      </w:pPr>
      <w:r>
        <w:rPr>
          <w:sz w:val="21"/>
          <w:szCs w:val="21"/>
        </w:rPr>
        <w:t xml:space="preserve">Open functional environmental flows in the data explorer.</w:t>
      </w:r>
    </w:p>
    <w:p>
      <w:pPr>
        <w:spacing w:after="40" w:before="40"/>
      </w:pPr>
      <w:r>
        <w:rPr>
          <w:rFonts w:ascii="Consolas" w:cs="Consolas" w:eastAsia="Consolas" w:hAnsi="Consolas"/>
          <w:color w:val="767171"/>
          <w:sz w:val="14"/>
          <w:szCs w:val="14"/>
        </w:rPr>
        <w:t xml:space="preserve">↑ ABOVE: this brief only  ·  id: explore-further.p.c4c23a43</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functional-environmental-flows</dc:title>
  <dc:creator>COEQWAL brief builder</dc:creator>
  <cp:lastModifiedBy>Un-named</cp:lastModifiedBy>
  <cp:revision>1</cp:revision>
  <dcterms:created xsi:type="dcterms:W3CDTF">2026-08-09T23:34:31.974Z</dcterms:created>
  <dcterms:modified xsi:type="dcterms:W3CDTF">2026-08-09T23:34:31.974Z</dcterms:modified>
</cp:coreProperties>
</file>

<file path=docProps/custom.xml><?xml version="1.0" encoding="utf-8"?>
<Properties xmlns="http://schemas.openxmlformats.org/officeDocument/2006/custom-properties" xmlns:vt="http://schemas.openxmlformats.org/officeDocument/2006/docPropsVTypes"/>
</file>