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groundwater-pumping-limits-in-the-san-joaquin-valley. Generated from scenario_results_brief_groundwater-pumping-limits-in-the-san-joaquin-valley_prototype_v0_3.html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groundwater-pumping-limits-in-the-san-joaquin-valley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Groundwater pumping limits in the San Joaquin Valley: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front.h1.278eba37</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29, and the operations effect in 16. The strategy’s value differs from current operations at 60 of the 279 locations reported here under the historical hydroclimate and at 114 under extreme climate stress, and across the five hydroclimates the count ranges from 60 to 114; where it does not differ, the difference from the baseline is the hydroclimate alone. Reservoir storage is the clearest case of the two effects running opposite ways: under extreme climate stress the hydroclimate contributes +1.1 and the strategy −0.5, leaving a difference from the baseline of +0.6.</w:t>
      </w:r>
    </w:p>
    <w:p>
      <w:pPr>
        <w:spacing w:after="40" w:before="40"/>
      </w:pPr>
      <w:r>
        <w:rPr>
          <w:rFonts w:ascii="Consolas" w:cs="Consolas" w:eastAsia="Consolas" w:hAnsi="Consolas"/>
          <w:color w:val="767171"/>
          <w:sz w:val="14"/>
          <w:szCs w:val="14"/>
        </w:rPr>
        <w:t xml:space="preserve">↑ ABOVE: this brief only  ·  id: front.p.e07ba656</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groundwater pumping limits in the San Joaquin Valley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what-this-is.p.678f3f35</w:t>
      </w:r>
    </w:p>
    <w:p>
      <w:pPr>
        <w:spacing w:after="20" w:before="100"/>
      </w:pPr>
      <w:r>
        <w:rPr>
          <w:sz w:val="21"/>
          <w:szCs w:val="21"/>
        </w:rPr>
        <w:t xml:space="preserve">Against current operations, this strategy differs in one of the eight operational settings the scenario library records: SGMA actions — Limit San Joaquin region groundwater pumping. For the full configuration, see the groundwater pumping limits in the San Joaquin Valley strategy brief.</w:t>
      </w:r>
    </w:p>
    <w:p>
      <w:pPr>
        <w:spacing w:after="40" w:before="40"/>
      </w:pPr>
      <w:r>
        <w:rPr>
          <w:rFonts w:ascii="Consolas" w:cs="Consolas" w:eastAsia="Consolas" w:hAnsi="Consolas"/>
          <w:color w:val="767171"/>
          <w:sz w:val="14"/>
          <w:szCs w:val="14"/>
        </w:rPr>
        <w:t xml:space="preserve">↑ ABOVE: this brief only  ·  id: what-this-is.p.af330ac4</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1.7 to 4.7. Of the 45 results — one sector under one hydroclimate — 19 sit in a different tier band from that sector’s baseline value and 26 sit in the same band; in all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what-the-model-shows.p.b4c8a89b</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9–37 of the 74 Community water systems locations, 25–49 of the 132 Agriculture locations, as few as 4 and as many as all 17 Environmental flows locations, the one Bay-Delta estuary ecology location under some hydroclimates and not others, the one Winter-run Chinook salmon location, as few as 0 and as many as all 2 Freshwater for Delta exports locations, as few as 0 and as many as all 2 Freshwater for in-Delta uses locations, 3–6 of the 8 Reservoir storage locations and 12–18 of the 42 Groundwater storage locations, depending on the hydroclimate — 60 to 114 of the 279 locations reported here. A sector where few locations differ therefore shows a small sector-level difference even when the locations that do differ move by a full tier or more. Read across the five hydroclimates together, 455 of the 1,395 location-and-hydroclimate results reported here differ from current operations: 301 toward Tier 1, 154 toward Tier 4. The median difference over the locations counted runs from 0.1 tier units at Bay-Delta estuary ecology to 0.6 at Community water systems. The locations that differ do not all differ in the same direction: in 18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reach.p.f885bff7</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Groundwater pumping limits in the San Joaquin Valley strategy brief.</w:t>
      </w:r>
    </w:p>
    <w:p>
      <w:pPr>
        <w:spacing w:after="40" w:before="40"/>
      </w:pPr>
      <w:r>
        <w:rPr>
          <w:rFonts w:ascii="Consolas" w:cs="Consolas" w:eastAsia="Consolas" w:hAnsi="Consolas"/>
          <w:color w:val="767171"/>
          <w:sz w:val="14"/>
          <w:szCs w:val="14"/>
        </w:rPr>
        <w:t xml:space="preserve">↑ ABOVE: this brief only  ·  id: related-briefs.p.fe876e9c</w:t>
      </w:r>
    </w:p>
    <w:p>
      <w:pPr>
        <w:spacing w:after="20" w:before="60"/>
        <w:ind w:left="360"/>
      </w:pPr>
      <w:r>
        <w:rPr>
          <w:sz w:val="21"/>
          <w:szCs w:val="21"/>
        </w:rPr>
        <w:t xml:space="preserve">— Groundwater pumping limits in the San Joaquin Valley — you are here</w:t>
      </w:r>
    </w:p>
    <w:p>
      <w:pPr>
        <w:spacing w:after="40" w:before="40"/>
      </w:pPr>
      <w:r>
        <w:rPr>
          <w:rFonts w:ascii="Consolas" w:cs="Consolas" w:eastAsia="Consolas" w:hAnsi="Consolas"/>
          <w:color w:val="767171"/>
          <w:sz w:val="14"/>
          <w:szCs w:val="14"/>
        </w:rPr>
        <w:t xml:space="preserve">↑ ABOVE: this brief only  ·  id: related-briefs.li.d5e5bf16</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s0025 / s0020; Moderate s0138 / s0134; Moderate-high s0067 / s0047; High s0087 / s0056; Extreme s0112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references.p.4334a875</w:t>
      </w:r>
    </w:p>
    <w:p>
      <w:pPr>
        <w:spacing w:after="20" w:before="100"/>
      </w:pPr>
      <w:r>
        <w:rPr>
          <w:sz w:val="21"/>
          <w:szCs w:val="21"/>
        </w:rPr>
        <w:t xml:space="preserve">Companion data file: results_groundwater-pumping-limits-in-the-san-joaquin-valley_schema1.json,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references.p.2ef7b761</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groundwater pumping limits in the San Joaquin Valley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explore-further.p.bb389676</w:t>
      </w:r>
    </w:p>
    <w:p>
      <w:pPr>
        <w:spacing w:after="20" w:before="100"/>
      </w:pPr>
      <w:r>
        <w:rPr>
          <w:sz w:val="21"/>
          <w:szCs w:val="21"/>
        </w:rPr>
        <w:t xml:space="preserve">Open groundwater pumping limits in the San Joaquin Valley in the data explorer.</w:t>
      </w:r>
    </w:p>
    <w:p>
      <w:pPr>
        <w:spacing w:after="40" w:before="40"/>
      </w:pPr>
      <w:r>
        <w:rPr>
          <w:rFonts w:ascii="Consolas" w:cs="Consolas" w:eastAsia="Consolas" w:hAnsi="Consolas"/>
          <w:color w:val="767171"/>
          <w:sz w:val="14"/>
          <w:szCs w:val="14"/>
        </w:rPr>
        <w:t xml:space="preserve">↑ ABOVE: this brief only  ·  id: explore-further.p.113bf030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groundwater-pumping-limits-in-the-san-joaquin-valley</dc:title>
  <dc:creator>COEQWAL brief builder</dc:creator>
  <cp:lastModifiedBy>Un-named</cp:lastModifiedBy>
  <cp:revision>1</cp:revision>
  <dcterms:created xsi:type="dcterms:W3CDTF">2026-08-09T23:34:32.002Z</dcterms:created>
  <dcterms:modified xsi:type="dcterms:W3CDTF">2026-08-09T23:34:32.002Z</dcterms:modified>
</cp:coreProperties>
</file>

<file path=docProps/custom.xml><?xml version="1.0" encoding="utf-8"?>
<Properties xmlns="http://schemas.openxmlformats.org/officeDocument/2006/custom-properties" xmlns:vt="http://schemas.openxmlformats.org/officeDocument/2006/docPropsVTypes"/>
</file>