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increase-delta-outflows-65-of-unimpaired-flow. Generated from scenario_results_brief_increase-delta-outflows-65-of-unimpaired-flow_prototype_v0_3.html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increase-delta-outflows-65-of-unimpaired-flow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Increase Delta outflows (65% of unimpaired flow):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front.h1.c5507e63</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20, and the operations effect in 25. The strategy’s value differs from current operations at 147 of the 279 locations reported here under the historical hydroclimate and at 155 under extreme climate stress, and across the five hydroclimates the count ranges from 140 to 162; where it does not differ, the difference from the baseline is the hydroclimate alone. Freshwater for in-Delta uses is the clearest case of the two effects running opposite ways: under extreme climate stress the hydroclimate contributes +0.3 and the strategy −0.3, leaving no net difference from the baseline.</w:t>
      </w:r>
    </w:p>
    <w:p>
      <w:pPr>
        <w:spacing w:after="40" w:before="40"/>
      </w:pPr>
      <w:r>
        <w:rPr>
          <w:rFonts w:ascii="Consolas" w:cs="Consolas" w:eastAsia="Consolas" w:hAnsi="Consolas"/>
          <w:color w:val="767171"/>
          <w:sz w:val="14"/>
          <w:szCs w:val="14"/>
        </w:rPr>
        <w:t xml:space="preserve">↑ ABOVE: this brief only  ·  id: front.p.9b190b5b</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increase Delta outflows (65% of unimpaired flow)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what-this-is.p.b0230bec</w:t>
      </w:r>
    </w:p>
    <w:p>
      <w:pPr>
        <w:spacing w:after="20" w:before="100"/>
      </w:pPr>
      <w:r>
        <w:rPr>
          <w:sz w:val="21"/>
          <w:szCs w:val="21"/>
        </w:rPr>
        <w:t xml:space="preserve">Against current operations, this strategy differs in four of the eight operational settings the scenario library records: Delta regulations — Modified Delta outflow (65% unimpaired); limits on exports; BiOps — Modified versions of 2019 / 2020 ITP; Flows — Delta outflow up to 65% unimpaired, supported by contributions from select tributaries; Allocation / priorities — Allows CVP Settlement allocations down to 0%. For the full configuration, see the increase Delta outflows (65% of unimpaired flow) strategy brief.</w:t>
      </w:r>
    </w:p>
    <w:p>
      <w:pPr>
        <w:spacing w:after="40" w:before="40"/>
      </w:pPr>
      <w:r>
        <w:rPr>
          <w:rFonts w:ascii="Consolas" w:cs="Consolas" w:eastAsia="Consolas" w:hAnsi="Consolas"/>
          <w:color w:val="767171"/>
          <w:sz w:val="14"/>
          <w:szCs w:val="14"/>
        </w:rPr>
        <w:t xml:space="preserve">↑ ABOVE: this brief only  ·  id: what-this-is.p.b4b509c8</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1.9 to 4.8. Of the 45 results — one sector under one hydroclimate — 26 sit in a different tier band from that sector’s baseline value and 19 sit in the same band; in six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what-the-model-shows.p.c92de6a3</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25–39 of the 74 Community water systems locations, 54–62 of the 132 Agriculture locations, as few as 5 and as many as all 17 Environmental flows locations, the one Bay-Delta estuary ecology location, the one Winter-run Chinook salmon location under some hydroclimates and not others, all 2 Freshwater for Delta exports locations, all 2 Freshwater for in-Delta uses locations, as few as 4 and as many as all 8 Reservoir storage locations and 35–38 of the 42 Groundwater storage locations, depending on the hydroclimate — 140 to 162 of the 279 locations reported here. A sector where few locations differ therefore shows a small sector-level difference even when the locations that do differ move by a full tier or more. Read across the five hydroclimates together, 756 of the 1,395 location-and-hydroclimate results reported here differ from current operations: 239 toward Tier 1, 517 toward Tier 4. The median difference over the locations counted runs from 0.1 tier units at Winter-run Chinook salmon to 1.1 at Groundwater storage. The locations that differ do not all differ in the same direction: in 24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reach.p.1eb176cf</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Increase Delta outflows (65% of unimpaired flow) strategy brief.</w:t>
      </w:r>
    </w:p>
    <w:p>
      <w:pPr>
        <w:spacing w:after="40" w:before="40"/>
      </w:pPr>
      <w:r>
        <w:rPr>
          <w:rFonts w:ascii="Consolas" w:cs="Consolas" w:eastAsia="Consolas" w:hAnsi="Consolas"/>
          <w:color w:val="767171"/>
          <w:sz w:val="14"/>
          <w:szCs w:val="14"/>
        </w:rPr>
        <w:t xml:space="preserve">↑ ABOVE: this brief only  ·  id: related-briefs.p.fd407b69</w:t>
      </w:r>
    </w:p>
    <w:p>
      <w:pPr>
        <w:spacing w:after="20" w:before="60"/>
        <w:ind w:left="360"/>
      </w:pPr>
      <w:r>
        <w:rPr>
          <w:sz w:val="21"/>
          <w:szCs w:val="21"/>
        </w:rPr>
        <w:t xml:space="preserve">— Increase Delta outflows (65% of unimpaired flow) — you are here</w:t>
      </w:r>
    </w:p>
    <w:p>
      <w:pPr>
        <w:spacing w:after="40" w:before="40"/>
      </w:pPr>
      <w:r>
        <w:rPr>
          <w:rFonts w:ascii="Consolas" w:cs="Consolas" w:eastAsia="Consolas" w:hAnsi="Consolas"/>
          <w:color w:val="767171"/>
          <w:sz w:val="14"/>
          <w:szCs w:val="14"/>
        </w:rPr>
        <w:t xml:space="preserve">↑ ABOVE: this brief only  ·  id: related-briefs.li.54d4b354</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s0039 / s0020; Moderate s0150 / s0134; Moderate-high s0078 / s0047; High s0098 / s0056; Extreme s0124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references.p.df3f4015</w:t>
      </w:r>
    </w:p>
    <w:p>
      <w:pPr>
        <w:spacing w:after="20" w:before="100"/>
      </w:pPr>
      <w:r>
        <w:rPr>
          <w:sz w:val="21"/>
          <w:szCs w:val="21"/>
        </w:rPr>
        <w:t xml:space="preserve">Companion data file: results_increase-delta-outflows-65-of-unimpaired-flow_schema1.json,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references.p.34f1943b</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increase Delta outflows (65% of unimpaired flow)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explore-further.p.0886c601</w:t>
      </w:r>
    </w:p>
    <w:p>
      <w:pPr>
        <w:spacing w:after="20" w:before="100"/>
      </w:pPr>
      <w:r>
        <w:rPr>
          <w:sz w:val="21"/>
          <w:szCs w:val="21"/>
        </w:rPr>
        <w:t xml:space="preserve">Open increase Delta outflows (65% of unimpaired flow) in the data explorer.</w:t>
      </w:r>
    </w:p>
    <w:p>
      <w:pPr>
        <w:spacing w:after="40" w:before="40"/>
      </w:pPr>
      <w:r>
        <w:rPr>
          <w:rFonts w:ascii="Consolas" w:cs="Consolas" w:eastAsia="Consolas" w:hAnsi="Consolas"/>
          <w:color w:val="767171"/>
          <w:sz w:val="14"/>
          <w:szCs w:val="14"/>
        </w:rPr>
        <w:t xml:space="preserve">↑ ABOVE: this brief only  ·  id: explore-further.p.cd4bfb95</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increase-delta-outflows-65-of-unimpaired-flow</dc:title>
  <dc:creator>COEQWAL brief builder</dc:creator>
  <cp:lastModifiedBy>Un-named</cp:lastModifiedBy>
  <cp:revision>1</cp:revision>
  <dcterms:created xsi:type="dcterms:W3CDTF">2026-08-09T23:34:32.009Z</dcterms:created>
  <dcterms:modified xsi:type="dcterms:W3CDTF">2026-08-09T23:34:32.009Z</dcterms:modified>
</cp:coreProperties>
</file>

<file path=docProps/custom.xml><?xml version="1.0" encoding="utf-8"?>
<Properties xmlns="http://schemas.openxmlformats.org/officeDocument/2006/custom-properties" xmlns:vt="http://schemas.openxmlformats.org/officeDocument/2006/docPropsVTypes"/>
</file>