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no-minimum-flow-requirements. Generated from scenario_results_brief_no-minimum-flow-requirements_prototype_v0_3.html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no-minimum-flow-requirements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No minimum flow requirements: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front.h1.c5b90e89</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21, and the operations effect in 24. The strategy’s value differs from current operations at 96 of the 279 locations reported here under the historical hydroclimate and at 144 under extreme climate stress, and across the five hydroclimates the count ranges from 96 to 144; where it does not differ, the difference from the baseline is the hydroclimate alone. Reservoir storage is the clearest case of the two effects running opposite ways: under extreme climate stress the hydroclimate contributes +1.1 and the strategy −0.9, leaving a difference from the baseline of +0.2.</w:t>
      </w:r>
    </w:p>
    <w:p>
      <w:pPr>
        <w:spacing w:after="40" w:before="40"/>
      </w:pPr>
      <w:r>
        <w:rPr>
          <w:rFonts w:ascii="Consolas" w:cs="Consolas" w:eastAsia="Consolas" w:hAnsi="Consolas"/>
          <w:color w:val="767171"/>
          <w:sz w:val="14"/>
          <w:szCs w:val="14"/>
        </w:rPr>
        <w:t xml:space="preserve">↑ ABOVE: this brief only  ·  id: front.p.eb4a0596</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no minimum flow requirements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what-this-is.p.b5c469b6</w:t>
      </w:r>
    </w:p>
    <w:p>
      <w:pPr>
        <w:spacing w:after="20" w:before="100"/>
      </w:pPr>
      <w:r>
        <w:rPr>
          <w:sz w:val="21"/>
          <w:szCs w:val="21"/>
        </w:rPr>
        <w:t xml:space="preserve">Against current operations, this strategy differs in one of the eight operational settings the scenario library records: Flows — Existing minimum flow requirements on Central Valley tributaries and the Trinity River set to zero; Delta outflow requirements maintained as under current operations; functional flows not active. For the full configuration, see the no minimum flow requirements strategy brief.</w:t>
      </w:r>
    </w:p>
    <w:p>
      <w:pPr>
        <w:spacing w:after="40" w:before="40"/>
      </w:pPr>
      <w:r>
        <w:rPr>
          <w:rFonts w:ascii="Consolas" w:cs="Consolas" w:eastAsia="Consolas" w:hAnsi="Consolas"/>
          <w:color w:val="767171"/>
          <w:sz w:val="14"/>
          <w:szCs w:val="14"/>
        </w:rPr>
        <w:t xml:space="preserve">↑ ABOVE: this brief only  ·  id: what-this-is.p.030b94b0</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1.1 to 4.8. Of the 45 results — one sector under one hydroclimate — 18 sit in a different tier band from that sector’s baseline value and 27 sit in the same band; in five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what-the-model-shows.p.b4fd699e</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18–48 of the 74 Community water systems locations, 36–62 of the 132 Agriculture locations, as few as 11 and as many as all 17 Environmental flows locations, the one Bay-Delta estuary ecology location, the one Winter-run Chinook salmon location under some hydroclimates and not others, as few as 0 and as many as all 2 Freshwater for Delta exports locations, all 2 Freshwater for in-Delta uses locations, 7 of the 8 Reservoir storage locations and 12–15 of the 42 Groundwater storage locations, depending on the hydroclimate — 96 to 144 of the 279 locations reported here. A sector where few locations differ therefore shows a small sector-level difference even when the locations that do differ move by a full tier or more. Read across the five hydroclimates together, 582 of the 1,395 location-and-hydroclimate results reported here differ from current operations: 453 toward Tier 1, 129 toward Tier 4. The median difference over the locations counted runs from 0.1 tier units at Winter-run Chinook salmon to 1.8 at Freshwater for in-Delta uses. The locations that differ do not all differ in the same direction: in 25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reach.p.a134b17d</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No minimum flow requirements strategy brief.</w:t>
      </w:r>
    </w:p>
    <w:p>
      <w:pPr>
        <w:spacing w:after="40" w:before="40"/>
      </w:pPr>
      <w:r>
        <w:rPr>
          <w:rFonts w:ascii="Consolas" w:cs="Consolas" w:eastAsia="Consolas" w:hAnsi="Consolas"/>
          <w:color w:val="767171"/>
          <w:sz w:val="14"/>
          <w:szCs w:val="14"/>
        </w:rPr>
        <w:t xml:space="preserve">↑ ABOVE: this brief only  ·  id: related-briefs.p.2c28aece</w:t>
      </w:r>
    </w:p>
    <w:p>
      <w:pPr>
        <w:spacing w:after="20" w:before="60"/>
        <w:ind w:left="360"/>
      </w:pPr>
      <w:r>
        <w:rPr>
          <w:sz w:val="21"/>
          <w:szCs w:val="21"/>
        </w:rPr>
        <w:t xml:space="preserve">— No minimum flow requirements — you are here</w:t>
      </w:r>
    </w:p>
    <w:p>
      <w:pPr>
        <w:spacing w:after="40" w:before="40"/>
      </w:pPr>
      <w:r>
        <w:rPr>
          <w:rFonts w:ascii="Consolas" w:cs="Consolas" w:eastAsia="Consolas" w:hAnsi="Consolas"/>
          <w:color w:val="767171"/>
          <w:sz w:val="14"/>
          <w:szCs w:val="14"/>
        </w:rPr>
        <w:t xml:space="preserve">↑ ABOVE: this brief only  ·  id: related-briefs.li.7f14f1b9</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s0030 / s0020; Moderate s0143 / s0134; Moderate-high s0071 / s0047; High s0091 / s0056; Extreme s0117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references.p.edd965d7</w:t>
      </w:r>
    </w:p>
    <w:p>
      <w:pPr>
        <w:spacing w:after="20" w:before="100"/>
      </w:pPr>
      <w:r>
        <w:rPr>
          <w:sz w:val="21"/>
          <w:szCs w:val="21"/>
        </w:rPr>
        <w:t xml:space="preserve">Companion data file: results_no-minimum-flow-requirements_schema1.json,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references.p.deca8e47</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no minimum flow requirements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explore-further.p.789e1366</w:t>
      </w:r>
    </w:p>
    <w:p>
      <w:pPr>
        <w:spacing w:after="20" w:before="100"/>
      </w:pPr>
      <w:r>
        <w:rPr>
          <w:sz w:val="21"/>
          <w:szCs w:val="21"/>
        </w:rPr>
        <w:t xml:space="preserve">Open no minimum flow requirements in the data explorer.</w:t>
      </w:r>
    </w:p>
    <w:p>
      <w:pPr>
        <w:spacing w:after="40" w:before="40"/>
      </w:pPr>
      <w:r>
        <w:rPr>
          <w:rFonts w:ascii="Consolas" w:cs="Consolas" w:eastAsia="Consolas" w:hAnsi="Consolas"/>
          <w:color w:val="767171"/>
          <w:sz w:val="14"/>
          <w:szCs w:val="14"/>
        </w:rPr>
        <w:t xml:space="preserve">↑ ABOVE: this brief only  ·  id: explore-further.p.79ee37ef</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no-minimum-flow-requirements</dc:title>
  <dc:creator>COEQWAL brief builder</dc:creator>
  <cp:lastModifiedBy>Un-named</cp:lastModifiedBy>
  <cp:revision>1</cp:revision>
  <dcterms:created xsi:type="dcterms:W3CDTF">2026-08-09T23:34:32.027Z</dcterms:created>
  <dcterms:modified xsi:type="dcterms:W3CDTF">2026-08-09T23:34:32.027Z</dcterms:modified>
</cp:coreProperties>
</file>

<file path=docProps/custom.xml><?xml version="1.0" encoding="utf-8"?>
<Properties xmlns="http://schemas.openxmlformats.org/officeDocument/2006/custom-properties" xmlns:vt="http://schemas.openxmlformats.org/officeDocument/2006/docPropsVTypes"/>
</file>