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prioritizing-full-demands-of-community-water-systems. Generated from scenario_results_brief_prioritizing-full-demands-of-community-water-systems_prototype_v0_3.html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prioritizing-full-demands-of-community-water-systems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Prioritizing full demands of community water systems: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front.h1.a998bf5f</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33, and the operations effect in 12. The strategy’s value differs from current operations at 39 of the 279 locations reported here under the historical hydroclimate and at 29 under extreme climate stress, and across the five hydroclimates the count ranges from 29 to 56; where it does not differ, the difference from the baseline is the hydroclimate alone. Community water systems is the clearest case of the two effects running opposite ways: under high climate stress the hydroclimate contributes +0.6 and the strategy −0.3, leaving a difference from the baseline of +0.3.</w:t>
      </w:r>
    </w:p>
    <w:p>
      <w:pPr>
        <w:spacing w:after="40" w:before="40"/>
      </w:pPr>
      <w:r>
        <w:rPr>
          <w:rFonts w:ascii="Consolas" w:cs="Consolas" w:eastAsia="Consolas" w:hAnsi="Consolas"/>
          <w:color w:val="767171"/>
          <w:sz w:val="14"/>
          <w:szCs w:val="14"/>
        </w:rPr>
        <w:t xml:space="preserve">↑ ABOVE: this brief only  ·  id: front.p.172ed6b4</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prioritizing full demands of community water systems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what-this-is.p.110f3f01</w:t>
      </w:r>
    </w:p>
    <w:p>
      <w:pPr>
        <w:spacing w:after="20" w:before="100"/>
      </w:pPr>
      <w:r>
        <w:rPr>
          <w:sz w:val="21"/>
          <w:szCs w:val="21"/>
        </w:rPr>
        <w:t xml:space="preserve">Against current operations, this strategy differs in one of the eight operational settings the scenario library records: Allocation / priorities — Top priority for full contract demand level of surface deliveries to CVP and SWP M&amp;I contractors. For the full configuration, see the prioritizing full demands of community water systems strategy brief.</w:t>
      </w:r>
    </w:p>
    <w:p>
      <w:pPr>
        <w:spacing w:after="40" w:before="40"/>
      </w:pPr>
      <w:r>
        <w:rPr>
          <w:rFonts w:ascii="Consolas" w:cs="Consolas" w:eastAsia="Consolas" w:hAnsi="Consolas"/>
          <w:color w:val="767171"/>
          <w:sz w:val="14"/>
          <w:szCs w:val="14"/>
        </w:rPr>
        <w:t xml:space="preserve">↑ ABOVE: this brief only  ·  id: what-this-is.p.29c4ed92</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1.7 to 4.8. Of the 45 results — one sector under one hydroclimate — 20 sit in a different tier band from that sector’s baseline value and 25 sit in the same band; in eight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what-the-model-shows.p.9deea6a5</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14–31 of the 74 Community water systems locations, 0–12 of the 132 Agriculture locations, as few as 0 and as many as all 17 Environmental flows locations, 0 of the one Bay-Delta estuary ecology location, the one Winter-run Chinook salmon location under some hydroclimates and not others, 0 of the 2 Freshwater for Delta exports locations, as few as 0 and as many as all 2 Freshwater for in-Delta uses locations, 1–2 of the 8 Reservoir storage locations and 0–4 of the 42 Groundwater storage locations, depending on the hydroclimate — 29 to 56 of the 279 locations reported here. A sector where few locations differ therefore shows a small sector-level difference even when the locations that do differ move by a full tier or more. Read across the five hydroclimates together, 196 of the 1,395 location-and-hydroclimate results reported here differ from current operations: 124 toward Tier 1, 72 toward Tier 4. The median difference over the locations counted runs from 0.1 tier units at Freshwater for in-Delta uses to 0.7 at Environmental flows. The locations that differ do not all differ in the same direction: in 8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reach.p.a54270bf</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Prioritizing full demands of community water systems strategy brief.</w:t>
      </w:r>
    </w:p>
    <w:p>
      <w:pPr>
        <w:spacing w:after="40" w:before="40"/>
      </w:pPr>
      <w:r>
        <w:rPr>
          <w:rFonts w:ascii="Consolas" w:cs="Consolas" w:eastAsia="Consolas" w:hAnsi="Consolas"/>
          <w:color w:val="767171"/>
          <w:sz w:val="14"/>
          <w:szCs w:val="14"/>
        </w:rPr>
        <w:t xml:space="preserve">↑ ABOVE: this brief only  ·  id: related-briefs.p.8c491174</w:t>
      </w:r>
    </w:p>
    <w:p>
      <w:pPr>
        <w:spacing w:after="20" w:before="60"/>
        <w:ind w:left="360"/>
      </w:pPr>
      <w:r>
        <w:rPr>
          <w:sz w:val="21"/>
          <w:szCs w:val="21"/>
        </w:rPr>
        <w:t xml:space="preserve">— Prioritizing full demands of community water systems — you are here</w:t>
      </w:r>
    </w:p>
    <w:p>
      <w:pPr>
        <w:spacing w:after="40" w:before="40"/>
      </w:pPr>
      <w:r>
        <w:rPr>
          <w:rFonts w:ascii="Consolas" w:cs="Consolas" w:eastAsia="Consolas" w:hAnsi="Consolas"/>
          <w:color w:val="767171"/>
          <w:sz w:val="14"/>
          <w:szCs w:val="14"/>
        </w:rPr>
        <w:t xml:space="preserve">↑ ABOVE: this brief only  ·  id: related-briefs.li.d34b6b1d</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s0037 / s0020; Moderate s0149 / s0134; Moderate-high s0077 / s0047; High s0097 / s0056; Extreme s0123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references.p.bad52051</w:t>
      </w:r>
    </w:p>
    <w:p>
      <w:pPr>
        <w:spacing w:after="20" w:before="100"/>
      </w:pPr>
      <w:r>
        <w:rPr>
          <w:sz w:val="21"/>
          <w:szCs w:val="21"/>
        </w:rPr>
        <w:t xml:space="preserve">Companion data file: results_prioritizing-full-demands-of-community-water-systems_schema1.json,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references.p.a08794e0</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prioritizing full demands of community water systems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explore-further.p.c1773c82</w:t>
      </w:r>
    </w:p>
    <w:p>
      <w:pPr>
        <w:spacing w:after="20" w:before="100"/>
      </w:pPr>
      <w:r>
        <w:rPr>
          <w:sz w:val="21"/>
          <w:szCs w:val="21"/>
        </w:rPr>
        <w:t xml:space="preserve">Open prioritizing full demands of community water systems in the data explorer.</w:t>
      </w:r>
    </w:p>
    <w:p>
      <w:pPr>
        <w:spacing w:after="40" w:before="40"/>
      </w:pPr>
      <w:r>
        <w:rPr>
          <w:rFonts w:ascii="Consolas" w:cs="Consolas" w:eastAsia="Consolas" w:hAnsi="Consolas"/>
          <w:color w:val="767171"/>
          <w:sz w:val="14"/>
          <w:szCs w:val="14"/>
        </w:rPr>
        <w:t xml:space="preserve">↑ ABOVE: this brief only  ·  id: explore-further.p.f0f06668</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prioritizing-full-demands-of-community-water-systems</dc:title>
  <dc:creator>COEQWAL brief builder</dc:creator>
  <cp:lastModifiedBy>Un-named</cp:lastModifiedBy>
  <cp:revision>1</cp:revision>
  <dcterms:created xsi:type="dcterms:W3CDTF">2026-08-09T23:34:32.031Z</dcterms:created>
  <dcterms:modified xsi:type="dcterms:W3CDTF">2026-08-09T23:34:32.031Z</dcterms:modified>
</cp:coreProperties>
</file>

<file path=docProps/custom.xml><?xml version="1.0" encoding="utf-8"?>
<Properties xmlns="http://schemas.openxmlformats.org/officeDocument/2006/custom-properties" xmlns:vt="http://schemas.openxmlformats.org/officeDocument/2006/docPropsVTypes"/>
</file>