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Strategy results — prioritizing-human-health-delivery-levels-to-community-water-systems. Generated from scenario_results_brief_prioritizing-human-health-delivery-levels-to-community-water-systems_prototype_v0_3.html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prioritizing-human-health-delivery-levels-to-community-water-systems — 12 of its 80 blocks. Everything else it says is shared, and is edited in the full strategy results document. Each paragraph is shown under the section it belongs to.</w:t>
      </w:r>
    </w:p>
    <w:p>
      <w:pPr>
        <w:pStyle w:val="Heading1"/>
        <w:spacing w:after="60" w:before="240"/>
      </w:pPr>
      <w:r>
        <w:rPr>
          <w:sz w:val="34"/>
          <w:szCs w:val="34"/>
        </w:rPr>
        <w:t xml:space="preserve">Prioritizing human health delivery levels to community water systems: modeled tier results across five hydroclimates, and how much of the difference from the baseline is the hydroclimate</w:t>
      </w:r>
    </w:p>
    <w:p>
      <w:pPr>
        <w:spacing w:after="40" w:before="20"/>
      </w:pPr>
      <w:r>
        <w:rPr>
          <w:rFonts w:ascii="Consolas" w:cs="Consolas" w:eastAsia="Consolas" w:hAnsi="Consolas"/>
          <w:color w:val="767171"/>
          <w:sz w:val="14"/>
          <w:szCs w:val="14"/>
        </w:rPr>
        <w:t xml:space="preserve">↑ ABOVE: heading  ·  id: front.h1.e0b567aa</w:t>
      </w:r>
    </w:p>
    <w:p>
      <w:pPr>
        <w:spacing w:after="20" w:before="100"/>
      </w:pPr>
      <w:r>
        <w:rPr>
          <w:sz w:val="21"/>
          <w:szCs w:val="21"/>
        </w:rPr>
        <w:t xml:space="preserve">TL;DR. Compared with the baseline — current operations under the historical hydroclimate — this strategy’s modeled tier results differ from the baseline in all nine sectors of the water system under at least one hydroclimate. Reading each sector under each hydroclimate as one result, 45 in all, the hydroclimate effect is the larger of the two in 30, and the operations effect in 15. The strategy’s value differs from current operations at 42 of the 279 locations reported here under the historical hydroclimate and at 32 under extreme climate stress, and across the five hydroclimates the count ranges from 32 to 54; where it does not differ, the difference from the baseline is the hydroclimate alone. Community water systems is the clearest case of the two effects running opposite ways: under high climate stress the hydroclimate contributes +0.6 and the strategy −0.3, leaving a difference from the baseline of +0.3.</w:t>
      </w:r>
    </w:p>
    <w:p>
      <w:pPr>
        <w:spacing w:after="40" w:before="40"/>
      </w:pPr>
      <w:r>
        <w:rPr>
          <w:rFonts w:ascii="Consolas" w:cs="Consolas" w:eastAsia="Consolas" w:hAnsi="Consolas"/>
          <w:color w:val="767171"/>
          <w:sz w:val="14"/>
          <w:szCs w:val="14"/>
        </w:rPr>
        <w:t xml:space="preserve">↑ ABOVE: this brief only  ·  id: front.p.0edb8b77</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the prioritizing human health delivery levels to community water systems strategy — one of 24 management strategies in the COEQWAL scenario library — simulated once under each of five hydroclimates and read as a set. The selection rule is that there is none: this brief reports every sector of the water system these model runs carry a tier for, across all five modeled hydroclimates, and no filter is applied to either. All nine sectors of the water system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what-this-is.p.905b7838</w:t>
      </w:r>
    </w:p>
    <w:p>
      <w:pPr>
        <w:spacing w:after="20" w:before="100"/>
      </w:pPr>
      <w:r>
        <w:rPr>
          <w:sz w:val="21"/>
          <w:szCs w:val="21"/>
        </w:rPr>
        <w:t xml:space="preserve">Against current operations, this strategy differs in one of the eight operational settings the scenario library records: Allocation / priorities — Top priority for health-and-human-safety level of surface deliveries to CVP and SWP M&amp;I contractors. For the full configuration, see the prioritizing human health delivery levels to community water systems strategy brief.</w:t>
      </w:r>
    </w:p>
    <w:p>
      <w:pPr>
        <w:spacing w:after="40" w:before="40"/>
      </w:pPr>
      <w:r>
        <w:rPr>
          <w:rFonts w:ascii="Consolas" w:cs="Consolas" w:eastAsia="Consolas" w:hAnsi="Consolas"/>
          <w:color w:val="767171"/>
          <w:sz w:val="14"/>
          <w:szCs w:val="14"/>
        </w:rPr>
        <w:t xml:space="preserve">↑ ABOVE: this brief only  ·  id: what-this-is.p.9f542f94</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nine sectors these runs report, the modeled tier values under the baseline — current operations under the historical hydroclimate — range from 1.7 to 4.2. Read across the five hydroclimates, the values this brief reports range from 1.5 to 4.7. Of the 45 results — one sector under one hydroclimate — 19 sit in a different tier band from that sector’s baseline value and 26 sit in the same band; in seven of the nine sectors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what-the-model-shows.p.3f8e0470</w:t>
      </w:r>
    </w:p>
    <w:p>
      <w:pPr>
        <w:pStyle w:val="Heading2"/>
        <w:spacing w:after="40" w:before="280"/>
      </w:pPr>
      <w:r>
        <w:rPr>
          <w:sz w:val="24"/>
          <w:szCs w:val="24"/>
        </w:rPr>
        <w:t xml:space="preserve">How many places a strategy reaches</w:t>
      </w:r>
    </w:p>
    <w:p>
      <w:pPr>
        <w:spacing w:after="60"/>
      </w:pPr>
      <w:r>
        <w:rPr>
          <w:rFonts w:ascii="Consolas" w:cs="Consolas" w:eastAsia="Consolas" w:hAnsi="Consolas"/>
          <w:color w:val="767171"/>
          <w:sz w:val="14"/>
          <w:szCs w:val="14"/>
        </w:rPr>
        <w:t xml:space="preserve">section id: reach — context only, not for editing</w:t>
      </w:r>
    </w:p>
    <w:p>
      <w:pPr>
        <w:spacing w:after="20" w:before="100"/>
      </w:pPr>
      <w:r>
        <w:rPr>
          <w:sz w:val="21"/>
          <w:szCs w:val="21"/>
        </w:rPr>
        <w:t xml:space="preserve">A strategy’s rules apply in some places and not others, and a sector’s value is the unweighted mean of its locations. This strategy’s value differs from current operations by at least 0.1 tier units at 19–31 of the 74 Community water systems locations, 1–11 of the 132 Agriculture locations, as few as 0 and as many as all 17 Environmental flows locations, 0 of the one Bay-Delta estuary ecology location, the one Winter-run Chinook salmon location under some hydroclimates and not others, as few as 0 and as many as all 2 Freshwater for Delta exports locations, 0 of the 2 Freshwater for in-Delta uses locations, 0–2 of the 8 Reservoir storage locations and 0–4 of the 42 Groundwater storage locations, depending on the hydroclimate — 32 to 54 of the 279 locations reported here. A sector where few locations differ therefore shows a small sector-level difference even when the locations that do differ move by a full tier or more. Read across the five hydroclimates together, 219 of the 1,395 location-and-hydroclimate results reported here differ from current operations: 132 toward Tier 1, 87 toward Tier 4. The median difference over the locations counted runs from 0.1 tier units at Freshwater for Delta exports to 0.8 at Community water systems. The locations that differ do not all differ in the same direction: in 8 of the 45 sector-and-hydroclimate combinations reported here, some of a sector’s locations differ from current operations toward Tier 1 and others toward Tier 4, so a sector value can sit close to the baseline while its locations differ in both directions.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reach.p.58d90f97</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100"/>
      </w:pPr>
      <w:r>
        <w:rPr>
          <w:sz w:val="21"/>
          <w:szCs w:val="21"/>
        </w:rPr>
        <w:t xml:space="preserve">What does this strategy do? It is described, rather than measured, by a reference brief that carries no modeled results: Prioritizing human health delivery levels to community water systems strategy brief.</w:t>
      </w:r>
    </w:p>
    <w:p>
      <w:pPr>
        <w:spacing w:after="40" w:before="40"/>
      </w:pPr>
      <w:r>
        <w:rPr>
          <w:rFonts w:ascii="Consolas" w:cs="Consolas" w:eastAsia="Consolas" w:hAnsi="Consolas"/>
          <w:color w:val="767171"/>
          <w:sz w:val="14"/>
          <w:szCs w:val="14"/>
        </w:rPr>
        <w:t xml:space="preserve">↑ ABOVE: this brief only  ·  id: related-briefs.p.ff501dd0</w:t>
      </w:r>
    </w:p>
    <w:p>
      <w:pPr>
        <w:spacing w:after="20" w:before="60"/>
        <w:ind w:left="360"/>
      </w:pPr>
      <w:r>
        <w:rPr>
          <w:sz w:val="21"/>
          <w:szCs w:val="21"/>
        </w:rPr>
        <w:t xml:space="preserve">— Prioritizing human health delivery levels to community water systems — you are here</w:t>
      </w:r>
    </w:p>
    <w:p>
      <w:pPr>
        <w:spacing w:after="40" w:before="40"/>
      </w:pPr>
      <w:r>
        <w:rPr>
          <w:rFonts w:ascii="Consolas" w:cs="Consolas" w:eastAsia="Consolas" w:hAnsi="Consolas"/>
          <w:color w:val="767171"/>
          <w:sz w:val="14"/>
          <w:szCs w:val="14"/>
        </w:rPr>
        <w:t xml:space="preserve">↑ ABOVE: this brief only  ·  id: related-briefs.li.a548ae58</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Model runs (this strategy / current operations): Historical s0035 / s0020; Moderate s0147 / s0134; Moderate-high s0075 / s0047; High s0095 / s0056; Extreme s0121 / s0108. The baseline is current operations under the historical hydroclimate, s0020.</w:t>
      </w:r>
    </w:p>
    <w:p>
      <w:pPr>
        <w:spacing w:after="40" w:before="40"/>
      </w:pPr>
      <w:r>
        <w:rPr>
          <w:rFonts w:ascii="Consolas" w:cs="Consolas" w:eastAsia="Consolas" w:hAnsi="Consolas"/>
          <w:color w:val="767171"/>
          <w:sz w:val="14"/>
          <w:szCs w:val="14"/>
        </w:rPr>
        <w:t xml:space="preserve">↑ ABOVE: this brief only  ·  id: references.p.a08e9440</w:t>
      </w:r>
    </w:p>
    <w:p>
      <w:pPr>
        <w:spacing w:after="20" w:before="100"/>
      </w:pPr>
      <w:r>
        <w:rPr>
          <w:sz w:val="21"/>
          <w:szCs w:val="21"/>
        </w:rPr>
        <w:t xml:space="preserve">Companion data file: results_prioritizing-human-health-delivery-levels-to-community-water-systems_schema1.json,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references.p.c78116ce</w:t>
      </w:r>
    </w:p>
    <w:p>
      <w:pPr>
        <w:pStyle w:val="Heading2"/>
        <w:spacing w:after="40" w:before="280"/>
      </w:pPr>
      <w:r>
        <w:rPr>
          <w:sz w:val="24"/>
          <w:szCs w:val="24"/>
        </w:rPr>
        <w:t xml:space="preserve">Explore further</w:t>
      </w:r>
    </w:p>
    <w:p>
      <w:pPr>
        <w:spacing w:after="60"/>
      </w:pPr>
      <w:r>
        <w:rPr>
          <w:rFonts w:ascii="Consolas" w:cs="Consolas" w:eastAsia="Consolas" w:hAnsi="Consolas"/>
          <w:color w:val="767171"/>
          <w:sz w:val="14"/>
          <w:szCs w:val="14"/>
        </w:rPr>
        <w:t xml:space="preserve">section id: explore-further — context only, not for editing</w:t>
      </w:r>
    </w:p>
    <w:p>
      <w:pPr>
        <w:spacing w:after="20" w:before="100"/>
      </w:pPr>
      <w:r>
        <w:rPr>
          <w:sz w:val="21"/>
          <w:szCs w:val="21"/>
        </w:rPr>
        <w:t xml:space="preserve">Every value on this page comes from the tier data, and the data explorer holds the same data without this brief’s selection of it. The link below opens prioritizing human health delivery levels to community water systems across all five hydroclimates and all nine sectors, so a reader can take the comparison apart, add a hydroclimate or a sector this brief reports as one number, and read the locations behind a sector value directly.</w:t>
      </w:r>
    </w:p>
    <w:p>
      <w:pPr>
        <w:spacing w:after="40" w:before="40"/>
      </w:pPr>
      <w:r>
        <w:rPr>
          <w:rFonts w:ascii="Consolas" w:cs="Consolas" w:eastAsia="Consolas" w:hAnsi="Consolas"/>
          <w:color w:val="767171"/>
          <w:sz w:val="14"/>
          <w:szCs w:val="14"/>
        </w:rPr>
        <w:t xml:space="preserve">↑ ABOVE: this brief only  ·  id: explore-further.p.23df0553</w:t>
      </w:r>
    </w:p>
    <w:p>
      <w:pPr>
        <w:spacing w:after="20" w:before="100"/>
      </w:pPr>
      <w:r>
        <w:rPr>
          <w:sz w:val="21"/>
          <w:szCs w:val="21"/>
        </w:rPr>
        <w:t xml:space="preserve">Open prioritizing human health delivery levels to community water systems in the data explorer.</w:t>
      </w:r>
    </w:p>
    <w:p>
      <w:pPr>
        <w:spacing w:after="40" w:before="40"/>
      </w:pPr>
      <w:r>
        <w:rPr>
          <w:rFonts w:ascii="Consolas" w:cs="Consolas" w:eastAsia="Consolas" w:hAnsi="Consolas"/>
          <w:color w:val="767171"/>
          <w:sz w:val="14"/>
          <w:szCs w:val="14"/>
        </w:rPr>
        <w:t xml:space="preserve">↑ ABOVE: this brief only  ·  id: explore-further.p.1b26cf6b</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prioritizing-human-health-delivery-levels-to-community-water-systems</dc:title>
  <dc:creator>COEQWAL brief builder</dc:creator>
  <cp:lastModifiedBy>Un-named</cp:lastModifiedBy>
  <cp:revision>1</cp:revision>
  <dcterms:created xsi:type="dcterms:W3CDTF">2026-08-09T23:34:32.034Z</dcterms:created>
  <dcterms:modified xsi:type="dcterms:W3CDTF">2026-08-09T23:34:32.034Z</dcterms:modified>
</cp:coreProperties>
</file>

<file path=docProps/custom.xml><?xml version="1.0" encoding="utf-8"?>
<Properties xmlns="http://schemas.openxmlformats.org/officeDocument/2006/custom-properties" xmlns:vt="http://schemas.openxmlformats.org/officeDocument/2006/docPropsVTypes"/>
</file>