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reduce-delta-outflows-35-of-unimpaired-flow. Generated from scenario_results_brief_reduce-delta-outflows-35-of-unimpaired-flow_prototype_v0_3.html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reduce-delta-outflows-35-of-unimpaired-flow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Reduce Delta outflows (35% of unimpaired flow):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front.h1.59a34b2b</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23, and the operations effect in 22. The strategy’s value differs from current operations at 137 of the 279 locations reported here under the historical hydroclimate and at 146 under extreme climate stress, and across the five hydroclimates the count ranges from 137 to 159; where it does not differ, the difference from the baseline is the hydroclimate alone. Winter-run Chinook salmon is the clearest case of the two effects running opposite ways: under moderate-high climate stress the hydroclimate contributes +0.4 and the strategy −0.2, leaving a difference from the baseline of +0.2.</w:t>
      </w:r>
    </w:p>
    <w:p>
      <w:pPr>
        <w:spacing w:after="40" w:before="40"/>
      </w:pPr>
      <w:r>
        <w:rPr>
          <w:rFonts w:ascii="Consolas" w:cs="Consolas" w:eastAsia="Consolas" w:hAnsi="Consolas"/>
          <w:color w:val="767171"/>
          <w:sz w:val="14"/>
          <w:szCs w:val="14"/>
        </w:rPr>
        <w:t xml:space="preserve">↑ ABOVE: this brief only  ·  id: front.p.1192bc5f</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reduce Delta outflows (35% of unimpaired flow)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what-this-is.p.35749480</w:t>
      </w:r>
    </w:p>
    <w:p>
      <w:pPr>
        <w:spacing w:after="20" w:before="100"/>
      </w:pPr>
      <w:r>
        <w:rPr>
          <w:sz w:val="21"/>
          <w:szCs w:val="21"/>
        </w:rPr>
        <w:t xml:space="preserve">Against current operations, this strategy differs in four of the eight operational settings the scenario library records: Delta regulations — Modified Delta outflow (35% unimpaired); limits on exports; BiOps — Modified versions of 2019 / 2020 ITP; Flows — Delta outflow up to 35% unimpaired, supported by contributions from select tributaries; Allocation / priorities — Allows CVP Settlement allocations down to 0%. For the full configuration, see the reduce Delta outflows (35% of unimpaired flow) strategy brief.</w:t>
      </w:r>
    </w:p>
    <w:p>
      <w:pPr>
        <w:spacing w:after="40" w:before="40"/>
      </w:pPr>
      <w:r>
        <w:rPr>
          <w:rFonts w:ascii="Consolas" w:cs="Consolas" w:eastAsia="Consolas" w:hAnsi="Consolas"/>
          <w:color w:val="767171"/>
          <w:sz w:val="14"/>
          <w:szCs w:val="14"/>
        </w:rPr>
        <w:t xml:space="preserve">↑ ABOVE: this brief only  ·  id: what-this-is.p.38cb0f73</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1.9 to 4.8. Of the 45 results — one sector under one hydroclimate — 25 sit in a different tier band from that sector’s baseline value and 20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what-the-model-shows.p.ab41513e</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20–36 of the 74 Community water systems locations, 52–61 of the 132 Agriculture locations, as few as 5 and as many as all 17 Environmental flows locations, the one Bay-Delta estuary ecology location under some hydroclimates and not others, the one Winter-run Chinook salmon location under some hydroclimates and not others, all 2 Freshwater for Delta exports locations, all 2 Freshwater for in-Delta uses locations, 4–7 of the 8 Reservoir storage locations and 36–39 of the 42 Groundwater storage locations, depending on the hydroclimate — 137 to 159 of the 279 locations reported here. A sector where few locations differ therefore shows a small sector-level difference even when the locations that do differ move by a full tier or more. Read across the five hydroclimates together, 740 of the 1,395 location-and-hydroclimate results reported here differ from current operations: 269 toward Tier 1, 471 toward Tier 4. The median difference over the locations counted runs from 0.1 tier units at Bay-Delta estuary ecology to 1.1 at Groundwater storage. The locations that differ do not all differ in the same direction: in 23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reach.p.b60c0c83</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Reduce Delta outflows (35% of unimpaired flow) strategy brief.</w:t>
      </w:r>
    </w:p>
    <w:p>
      <w:pPr>
        <w:spacing w:after="40" w:before="40"/>
      </w:pPr>
      <w:r>
        <w:rPr>
          <w:rFonts w:ascii="Consolas" w:cs="Consolas" w:eastAsia="Consolas" w:hAnsi="Consolas"/>
          <w:color w:val="767171"/>
          <w:sz w:val="14"/>
          <w:szCs w:val="14"/>
        </w:rPr>
        <w:t xml:space="preserve">↑ ABOVE: this brief only  ·  id: related-briefs.p.3c7938b5</w:t>
      </w:r>
    </w:p>
    <w:p>
      <w:pPr>
        <w:spacing w:after="20" w:before="60"/>
        <w:ind w:left="360"/>
      </w:pPr>
      <w:r>
        <w:rPr>
          <w:sz w:val="21"/>
          <w:szCs w:val="21"/>
        </w:rPr>
        <w:t xml:space="preserve">— Reduce Delta outflows (35% of unimpaired flow) — you are here</w:t>
      </w:r>
    </w:p>
    <w:p>
      <w:pPr>
        <w:spacing w:after="40" w:before="40"/>
      </w:pPr>
      <w:r>
        <w:rPr>
          <w:rFonts w:ascii="Consolas" w:cs="Consolas" w:eastAsia="Consolas" w:hAnsi="Consolas"/>
          <w:color w:val="767171"/>
          <w:sz w:val="14"/>
          <w:szCs w:val="14"/>
        </w:rPr>
        <w:t xml:space="preserve">↑ ABOVE: this brief only  ·  id: related-briefs.li.9079daa3</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s0040 / s0020; Moderate s0151 / s0134; Moderate-high s0079 / s0047; High s0099 / s0056; Extreme s0125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references.p.ff7563df</w:t>
      </w:r>
    </w:p>
    <w:p>
      <w:pPr>
        <w:spacing w:after="20" w:before="100"/>
      </w:pPr>
      <w:r>
        <w:rPr>
          <w:sz w:val="21"/>
          <w:szCs w:val="21"/>
        </w:rPr>
        <w:t xml:space="preserve">Companion data file: results_reduce-delta-outflows-35-of-unimpaired-flow_schema1.json,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references.p.556c7f96</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reduce Delta outflows (35% of unimpaired flow)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explore-further.p.6efdac0b</w:t>
      </w:r>
    </w:p>
    <w:p>
      <w:pPr>
        <w:spacing w:after="20" w:before="100"/>
      </w:pPr>
      <w:r>
        <w:rPr>
          <w:sz w:val="21"/>
          <w:szCs w:val="21"/>
        </w:rPr>
        <w:t xml:space="preserve">Open reduce Delta outflows (35% of unimpaired flow) in the data explorer.</w:t>
      </w:r>
    </w:p>
    <w:p>
      <w:pPr>
        <w:spacing w:after="40" w:before="40"/>
      </w:pPr>
      <w:r>
        <w:rPr>
          <w:rFonts w:ascii="Consolas" w:cs="Consolas" w:eastAsia="Consolas" w:hAnsi="Consolas"/>
          <w:color w:val="767171"/>
          <w:sz w:val="14"/>
          <w:szCs w:val="14"/>
        </w:rPr>
        <w:t xml:space="preserve">↑ ABOVE: this brief only  ·  id: explore-further.p.3df916d4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reduce-delta-outflows-35-of-unimpaired-flow</dc:title>
  <dc:creator>COEQWAL brief builder</dc:creator>
  <cp:lastModifiedBy>Un-named</cp:lastModifiedBy>
  <cp:revision>1</cp:revision>
  <dcterms:created xsi:type="dcterms:W3CDTF">2026-08-09T23:34:32.040Z</dcterms:created>
  <dcterms:modified xsi:type="dcterms:W3CDTF">2026-08-09T23:34:32.040Z</dcterms:modified>
</cp:coreProperties>
</file>

<file path=docProps/custom.xml><?xml version="1.0" encoding="utf-8"?>
<Properties xmlns="http://schemas.openxmlformats.org/officeDocument/2006/custom-properties" xmlns:vt="http://schemas.openxmlformats.org/officeDocument/2006/docPropsVTypes"/>
</file>