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relax-delta-salinity-standards. Generated from scenario_results_brief_relax-delta-salinity-standards_prototype_v0_3.html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relax-delta-salinity-standards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Relax Delta salinity standards: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front.h1.6bff8c9b</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32, and the operations effect in 13. The strategy’s value differs from current operations at 34 of the 279 locations reported here under the historical hydroclimate and at 15 under extreme climate stress, and across the five hydroclimates the count ranges from 15 to 53; where it does not differ, the difference from the baseline is the hydroclimate alone. Freshwater for Delta exports is the clearest case of the two effects running opposite ways: under moderate-high climate stress the hydroclimate contributes +0.6 and the strategy −0.2, leaving a difference from the baseline of +0.4.</w:t>
      </w:r>
    </w:p>
    <w:p>
      <w:pPr>
        <w:spacing w:after="40" w:before="40"/>
      </w:pPr>
      <w:r>
        <w:rPr>
          <w:rFonts w:ascii="Consolas" w:cs="Consolas" w:eastAsia="Consolas" w:hAnsi="Consolas"/>
          <w:color w:val="767171"/>
          <w:sz w:val="14"/>
          <w:szCs w:val="14"/>
        </w:rPr>
        <w:t xml:space="preserve">↑ ABOVE: this brief only  ·  id: front.p.811582db</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relax Delta salinity standards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what-this-is.p.ccfdddfe</w:t>
      </w:r>
    </w:p>
    <w:p>
      <w:pPr>
        <w:spacing w:after="20" w:before="100"/>
      </w:pPr>
      <w:r>
        <w:rPr>
          <w:sz w:val="21"/>
          <w:szCs w:val="21"/>
        </w:rPr>
        <w:t xml:space="preserve">Against current operations, this strategy differs in two of the eight operational settings the scenario library records: BiOps — Modified versions of 2019 / 2020 ITP; Flows — Fall X2 salinity (and flow) requirements removed. For the full configuration, see the relax Delta salinity standards strategy brief.</w:t>
      </w:r>
    </w:p>
    <w:p>
      <w:pPr>
        <w:spacing w:after="40" w:before="40"/>
      </w:pPr>
      <w:r>
        <w:rPr>
          <w:rFonts w:ascii="Consolas" w:cs="Consolas" w:eastAsia="Consolas" w:hAnsi="Consolas"/>
          <w:color w:val="767171"/>
          <w:sz w:val="14"/>
          <w:szCs w:val="14"/>
        </w:rPr>
        <w:t xml:space="preserve">↑ ABOVE: this brief only  ·  id: what-this-is.p.08a146f7</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1.7 to 4.8. Of the 45 results — one sector under one hydroclimate — 19 sit in a different tier band from that sector’s baseline value and 26 sit in the same band; in six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what-the-model-shows.p.c6185592</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5–23 of the 74 Community water systems locations, 2–12 of the 132 Agriculture locations, as few as 0 and as many as all 17 Environmental flows locations, 0 of the one Bay-Delta estuary ecology location, the one Winter-run Chinook salmon location under some hydroclimates and not others, as few as 0 and as many as all 2 Freshwater for Delta exports locations, as few as 0 and as many as all 2 Freshwater for in-Delta uses locations, 1–4 of the 8 Reservoir storage locations and 0–3 of the 42 Groundwater storage locations, depending on the hydroclimate — 15 to 53 of the 279 locations reported here. A sector where few locations differ therefore shows a small sector-level difference even when the locations that do differ move by a full tier or more. Read across the five hydroclimates together, 174 of the 1,395 location-and-hydroclimate results reported here differ from current operations: 103 toward Tier 1, 71 toward Tier 4. The median difference over the locations counted runs from 0.1 tier units at Winter-run Chinook salmon to 0.7 at Environmental flows. The locations that differ do not all differ in the same direction: in 8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reach.p.9d407cd1</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Relax Delta salinity standards strategy brief.</w:t>
      </w:r>
    </w:p>
    <w:p>
      <w:pPr>
        <w:spacing w:after="40" w:before="40"/>
      </w:pPr>
      <w:r>
        <w:rPr>
          <w:rFonts w:ascii="Consolas" w:cs="Consolas" w:eastAsia="Consolas" w:hAnsi="Consolas"/>
          <w:color w:val="767171"/>
          <w:sz w:val="14"/>
          <w:szCs w:val="14"/>
        </w:rPr>
        <w:t xml:space="preserve">↑ ABOVE: this brief only  ·  id: related-briefs.p.1e87a425</w:t>
      </w:r>
    </w:p>
    <w:p>
      <w:pPr>
        <w:spacing w:after="20" w:before="60"/>
        <w:ind w:left="360"/>
      </w:pPr>
      <w:r>
        <w:rPr>
          <w:sz w:val="21"/>
          <w:szCs w:val="21"/>
        </w:rPr>
        <w:t xml:space="preserve">— Relax Delta salinity standards — you are here</w:t>
      </w:r>
    </w:p>
    <w:p>
      <w:pPr>
        <w:spacing w:after="40" w:before="40"/>
      </w:pPr>
      <w:r>
        <w:rPr>
          <w:rFonts w:ascii="Consolas" w:cs="Consolas" w:eastAsia="Consolas" w:hAnsi="Consolas"/>
          <w:color w:val="767171"/>
          <w:sz w:val="14"/>
          <w:szCs w:val="14"/>
        </w:rPr>
        <w:t xml:space="preserve">↑ ABOVE: this brief only  ·  id: related-briefs.li.d56bc1f0</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s0045 / s0020; Moderate s0155 / s0134; Moderate-high s0083 / s0047; High s0103 / s0056; Extreme s0129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references.p.a79207de</w:t>
      </w:r>
    </w:p>
    <w:p>
      <w:pPr>
        <w:spacing w:after="20" w:before="100"/>
      </w:pPr>
      <w:r>
        <w:rPr>
          <w:sz w:val="21"/>
          <w:szCs w:val="21"/>
        </w:rPr>
        <w:t xml:space="preserve">Companion data file: results_relax-delta-salinity-standards_schema1.json,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references.p.cd327826</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relax Delta salinity standards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explore-further.p.383441fa</w:t>
      </w:r>
    </w:p>
    <w:p>
      <w:pPr>
        <w:spacing w:after="20" w:before="100"/>
      </w:pPr>
      <w:r>
        <w:rPr>
          <w:sz w:val="21"/>
          <w:szCs w:val="21"/>
        </w:rPr>
        <w:t xml:space="preserve">Open relax Delta salinity standards in the data explorer.</w:t>
      </w:r>
    </w:p>
    <w:p>
      <w:pPr>
        <w:spacing w:after="40" w:before="40"/>
      </w:pPr>
      <w:r>
        <w:rPr>
          <w:rFonts w:ascii="Consolas" w:cs="Consolas" w:eastAsia="Consolas" w:hAnsi="Consolas"/>
          <w:color w:val="767171"/>
          <w:sz w:val="14"/>
          <w:szCs w:val="14"/>
        </w:rPr>
        <w:t xml:space="preserve">↑ ABOVE: this brief only  ·  id: explore-further.p.1caa1acf</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relax-delta-salinity-standards</dc:title>
  <dc:creator>COEQWAL brief builder</dc:creator>
  <cp:lastModifiedBy>Un-named</cp:lastModifiedBy>
  <cp:revision>1</cp:revision>
  <dcterms:created xsi:type="dcterms:W3CDTF">2026-08-09T23:34:32.047Z</dcterms:created>
  <dcterms:modified xsi:type="dcterms:W3CDTF">2026-08-09T23:34:32.047Z</dcterms:modified>
</cp:coreProperties>
</file>

<file path=docProps/custom.xml><?xml version="1.0" encoding="utf-8"?>
<Properties xmlns="http://schemas.openxmlformats.org/officeDocument/2006/custom-properties" xmlns:vt="http://schemas.openxmlformats.org/officeDocument/2006/docPropsVTypes"/>
</file>