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onsolas" w:cs="Consolas" w:eastAsia="Consolas" w:hAnsi="Consolas"/>
          <w:color w:val="767171"/>
          <w:sz w:val="16"/>
          <w:szCs w:val="16"/>
        </w:rPr>
        <w:t xml:space="preserve">COEQWAL BRIEF — REVIEW COPY, ROUND 1 · rev b, share labels corrected 2026-08-08</w:t>
      </w:r>
    </w:p>
    <w:p>
      <w:pPr>
        <w:pBdr>
          <w:bottom w:val="single" w:color="CCCCCC" w:sz="6" w:space="6"/>
        </w:pBdr>
        <w:spacing w:after="160"/>
      </w:pPr>
      <w:r>
        <w:rPr>
          <w:i/>
          <w:iCs/>
          <w:color w:val="767171"/>
          <w:sz w:val="16"/>
          <w:szCs w:val="16"/>
        </w:rPr>
        <w:t xml:space="preserve">Strategy results — salmon-friendly-flows-with-groundwater-regulations. Generated from scenario_results_brief_salmon-friendly-flows-with-groundwater-regulations_prototype_v0_3.html (build gen3e). Edit the prose freely; track changes are welcome but not required. Do not edit numbers — they are model output and are verified separately. Comment on them instead.</w:t>
      </w:r>
    </w:p>
    <w:p>
      <w:pPr>
        <w:shd w:fill="F2F1EE" w:val="clear"/>
        <w:spacing w:after="80" w:before="80"/>
      </w:pPr>
      <w:r>
        <w:rPr>
          <w:i/>
          <w:iCs/>
          <w:color w:val="333333"/>
          <w:sz w:val="16"/>
          <w:szCs w:val="16"/>
        </w:rPr>
        <w:t xml:space="preserve">This document holds ONLY the paragraphs unique to salmon-friendly-flows-with-groundwater-regulations — 12 of its 80 blocks. Everything else it says is shared, and is edited in the full strategy results document. Each paragraph is shown under the section it belongs to.</w:t>
      </w:r>
    </w:p>
    <w:p>
      <w:pPr>
        <w:pStyle w:val="Heading1"/>
        <w:spacing w:after="60" w:before="240"/>
      </w:pPr>
      <w:r>
        <w:rPr>
          <w:sz w:val="34"/>
          <w:szCs w:val="34"/>
        </w:rPr>
        <w:t xml:space="preserve">Salmon-friendly flows with groundwater regulations: modeled tier results across five hydroclimates, and how much of the difference from the baseline is the hydroclimate</w:t>
      </w:r>
    </w:p>
    <w:p>
      <w:pPr>
        <w:spacing w:after="40" w:before="20"/>
      </w:pPr>
      <w:r>
        <w:rPr>
          <w:rFonts w:ascii="Consolas" w:cs="Consolas" w:eastAsia="Consolas" w:hAnsi="Consolas"/>
          <w:color w:val="767171"/>
          <w:sz w:val="14"/>
          <w:szCs w:val="14"/>
        </w:rPr>
        <w:t xml:space="preserve">↑ ABOVE: heading  ·  id: front.h1.c33c0b87</w:t>
      </w:r>
    </w:p>
    <w:p>
      <w:pPr>
        <w:spacing w:after="20" w:before="100"/>
      </w:pPr>
      <w:r>
        <w:rPr>
          <w:sz w:val="21"/>
          <w:szCs w:val="21"/>
        </w:rPr>
        <w:t xml:space="preserve">TL;DR. Compared with the baseline — current operations under the historical hydroclimate — this strategy’s modeled tier results differ from the baseline in all nine sectors of the water system under at least one hydroclimate. Reading each sector under each hydroclimate as one result, 45 in all, the hydroclimate effect is the larger of the two in 21, and the operations effect in 24. The strategy’s value differs from current operations at 196 of the 279 locations reported here under the historical hydroclimate and at 203 under extreme climate stress, and across the five hydroclimates the count ranges from 184 to 203; where it does not differ, the difference from the baseline is the hydroclimate alone. Freshwater for Delta exports is the clearest case of the two effects running opposite ways: under high climate stress the hydroclimate contributes +1.1 and the strategy −1.0, leaving a difference from the baseline of +0.1.</w:t>
      </w:r>
    </w:p>
    <w:p>
      <w:pPr>
        <w:spacing w:after="40" w:before="40"/>
      </w:pPr>
      <w:r>
        <w:rPr>
          <w:rFonts w:ascii="Consolas" w:cs="Consolas" w:eastAsia="Consolas" w:hAnsi="Consolas"/>
          <w:color w:val="767171"/>
          <w:sz w:val="14"/>
          <w:szCs w:val="14"/>
        </w:rPr>
        <w:t xml:space="preserve">↑ ABOVE: this brief only  ·  id: front.p.d784c985</w:t>
      </w:r>
    </w:p>
    <w:p>
      <w:pPr>
        <w:pStyle w:val="Heading2"/>
        <w:spacing w:after="40" w:before="280"/>
      </w:pPr>
      <w:r>
        <w:rPr>
          <w:sz w:val="24"/>
          <w:szCs w:val="24"/>
        </w:rPr>
        <w:t xml:space="preserve">What this is</w:t>
      </w:r>
    </w:p>
    <w:p>
      <w:pPr>
        <w:spacing w:after="60"/>
      </w:pPr>
      <w:r>
        <w:rPr>
          <w:rFonts w:ascii="Consolas" w:cs="Consolas" w:eastAsia="Consolas" w:hAnsi="Consolas"/>
          <w:color w:val="767171"/>
          <w:sz w:val="14"/>
          <w:szCs w:val="14"/>
        </w:rPr>
        <w:t xml:space="preserve">section id: what-this-is — context only, not for editing</w:t>
      </w:r>
    </w:p>
    <w:p>
      <w:pPr>
        <w:spacing w:after="20" w:before="100"/>
      </w:pPr>
      <w:r>
        <w:rPr>
          <w:sz w:val="21"/>
          <w:szCs w:val="21"/>
        </w:rPr>
        <w:t xml:space="preserve">This is a results brief: it reports the modeled tier results, and nothing else, for the salmon-friendly flows with groundwater regulations strategy — one of 24 management strategies in the COEQWAL scenario library — simulated once under each of five hydroclimates and read as a set. The selection rule is that there is none: this brief reports every sector of the water system these model runs carry a tier for, across all five modeled hydroclimates, and no filter is applied to either. All nine sectors of the water system are reported under every hydroclimate. A scenario is a strategy paired with one hydroclimate; the five hydroclimates are a sample of stress levels, not a forecast of which will occur. For how the five were constructed, see the hydroclimates reference brief.</w:t>
      </w:r>
    </w:p>
    <w:p>
      <w:pPr>
        <w:spacing w:after="40" w:before="40"/>
      </w:pPr>
      <w:r>
        <w:rPr>
          <w:rFonts w:ascii="Consolas" w:cs="Consolas" w:eastAsia="Consolas" w:hAnsi="Consolas"/>
          <w:color w:val="767171"/>
          <w:sz w:val="14"/>
          <w:szCs w:val="14"/>
        </w:rPr>
        <w:t xml:space="preserve">↑ ABOVE: this brief only  ·  id: what-this-is.p.f1c67728</w:t>
      </w:r>
    </w:p>
    <w:p>
      <w:pPr>
        <w:spacing w:after="20" w:before="100"/>
      </w:pPr>
      <w:r>
        <w:rPr>
          <w:sz w:val="21"/>
          <w:szCs w:val="21"/>
        </w:rPr>
        <w:t xml:space="preserve">Against current operations, this strategy differs in three of the eight operational settings the scenario library records: SGMA actions — Limit irrigated acreage for the entire Central Valley; Land use — 2020 LandIQ with reduced agricultural acreage in selected areas across the Central Valley; Flows — Functional flow requirements at 17 locations (tributaries plus Delta). For the full configuration, see the salmon-friendly flows with groundwater regulations strategy brief.</w:t>
      </w:r>
    </w:p>
    <w:p>
      <w:pPr>
        <w:spacing w:after="40" w:before="40"/>
      </w:pPr>
      <w:r>
        <w:rPr>
          <w:rFonts w:ascii="Consolas" w:cs="Consolas" w:eastAsia="Consolas" w:hAnsi="Consolas"/>
          <w:color w:val="767171"/>
          <w:sz w:val="14"/>
          <w:szCs w:val="14"/>
        </w:rPr>
        <w:t xml:space="preserve">↑ ABOVE: this brief only  ·  id: what-this-is.p.da98c075</w:t>
      </w:r>
    </w:p>
    <w:p>
      <w:pPr>
        <w:pStyle w:val="Heading2"/>
        <w:spacing w:after="40" w:before="280"/>
      </w:pPr>
      <w:r>
        <w:rPr>
          <w:sz w:val="24"/>
          <w:szCs w:val="24"/>
        </w:rPr>
        <w:t xml:space="preserve">What the model shows</w:t>
      </w:r>
    </w:p>
    <w:p>
      <w:pPr>
        <w:spacing w:after="60"/>
      </w:pPr>
      <w:r>
        <w:rPr>
          <w:rFonts w:ascii="Consolas" w:cs="Consolas" w:eastAsia="Consolas" w:hAnsi="Consolas"/>
          <w:color w:val="767171"/>
          <w:sz w:val="14"/>
          <w:szCs w:val="14"/>
        </w:rPr>
        <w:t xml:space="preserve">section id: what-the-model-shows — context only, not for editing</w:t>
      </w:r>
    </w:p>
    <w:p>
      <w:pPr>
        <w:spacing w:after="20" w:before="100"/>
      </w:pPr>
      <w:r>
        <w:rPr>
          <w:sz w:val="21"/>
          <w:szCs w:val="21"/>
        </w:rPr>
        <w:t xml:space="preserve">Across the nine sectors these runs report, the modeled tier values under the baseline — current operations under the historical hydroclimate — range from 1.7 to 4.2. Read across the five hydroclimates, the values this brief reports range from 1.0 to 4.9. Of the 45 results — one sector under one hydroclimate — 22 sit in a different tier band from that sector’s baseline value and 23 sit in the same band; in seven of the nine sectors the five values do not all sit in one band.</w:t>
      </w:r>
    </w:p>
    <w:p>
      <w:pPr>
        <w:spacing w:after="40" w:before="40"/>
      </w:pPr>
      <w:r>
        <w:rPr>
          <w:rFonts w:ascii="Consolas" w:cs="Consolas" w:eastAsia="Consolas" w:hAnsi="Consolas"/>
          <w:color w:val="767171"/>
          <w:sz w:val="14"/>
          <w:szCs w:val="14"/>
        </w:rPr>
        <w:t xml:space="preserve">↑ ABOVE: this brief only  ·  id: what-the-model-shows.p.be66b17d</w:t>
      </w:r>
    </w:p>
    <w:p>
      <w:pPr>
        <w:pStyle w:val="Heading2"/>
        <w:spacing w:after="40" w:before="280"/>
      </w:pPr>
      <w:r>
        <w:rPr>
          <w:sz w:val="24"/>
          <w:szCs w:val="24"/>
        </w:rPr>
        <w:t xml:space="preserve">How many places a strategy reaches</w:t>
      </w:r>
    </w:p>
    <w:p>
      <w:pPr>
        <w:spacing w:after="60"/>
      </w:pPr>
      <w:r>
        <w:rPr>
          <w:rFonts w:ascii="Consolas" w:cs="Consolas" w:eastAsia="Consolas" w:hAnsi="Consolas"/>
          <w:color w:val="767171"/>
          <w:sz w:val="14"/>
          <w:szCs w:val="14"/>
        </w:rPr>
        <w:t xml:space="preserve">section id: reach — context only, not for editing</w:t>
      </w:r>
    </w:p>
    <w:p>
      <w:pPr>
        <w:spacing w:after="20" w:before="100"/>
      </w:pPr>
      <w:r>
        <w:rPr>
          <w:sz w:val="21"/>
          <w:szCs w:val="21"/>
        </w:rPr>
        <w:t xml:space="preserve">A strategy’s rules apply in some places and not others, and a sector’s value is the unweighted mean of its locations. This strategy’s value differs from current operations by at least 0.1 tier units at 23–46 of the 74 Community water systems locations, 99–117 of the 132 Agriculture locations, as few as 8 and as many as all 17 Environmental flows locations, the one Bay-Delta estuary ecology location under some hydroclimates and not others, the one Winter-run Chinook salmon location, all 2 Freshwater for Delta exports locations, as few as 0 and as many as all 2 Freshwater for in-Delta uses locations, as few as 5 and as many as all 8 Reservoir storage locations and 22–30 of the 42 Groundwater storage locations, depending on the hydroclimate — 184 to 203 of the 279 locations reported here. A sector where few locations differ therefore shows a small sector-level difference even when the locations that do differ move by a full tier or more. Read across the five hydroclimates together, 971 of the 1,395 location-and-hydroclimate results reported here differ from current operations: 351 toward Tier 1, 620 toward Tier 4. The median difference over the locations counted runs from 0.1 tier units at Bay-Delta estuary ecology to 1.0 at Reservoir storage. The locations that differ do not all differ in the same direction: in 24 of the 45 sector-and-hydroclimate combinations reported here, some of a sector’s locations differ from current operations toward Tier 1 and others toward Tier 4, so a sector value can sit close to the baseline while its locations differ in both directions. This page reports sectors, not individual locations; where a place brief has been published for one of a sector’s locations, that brief reports the location’s own values across the same scenarios.</w:t>
      </w:r>
    </w:p>
    <w:p>
      <w:pPr>
        <w:spacing w:after="40" w:before="40"/>
      </w:pPr>
      <w:r>
        <w:rPr>
          <w:rFonts w:ascii="Consolas" w:cs="Consolas" w:eastAsia="Consolas" w:hAnsi="Consolas"/>
          <w:color w:val="767171"/>
          <w:sz w:val="14"/>
          <w:szCs w:val="14"/>
        </w:rPr>
        <w:t xml:space="preserve">↑ ABOVE: this brief only  ·  id: reach.p.a8e8321d</w:t>
      </w:r>
    </w:p>
    <w:p>
      <w:pPr>
        <w:pStyle w:val="Heading2"/>
        <w:spacing w:after="40" w:before="280"/>
      </w:pPr>
      <w:r>
        <w:rPr>
          <w:sz w:val="24"/>
          <w:szCs w:val="24"/>
        </w:rPr>
        <w:t xml:space="preserve">Related briefs</w:t>
      </w:r>
    </w:p>
    <w:p>
      <w:pPr>
        <w:spacing w:after="60"/>
      </w:pPr>
      <w:r>
        <w:rPr>
          <w:rFonts w:ascii="Consolas" w:cs="Consolas" w:eastAsia="Consolas" w:hAnsi="Consolas"/>
          <w:color w:val="767171"/>
          <w:sz w:val="14"/>
          <w:szCs w:val="14"/>
        </w:rPr>
        <w:t xml:space="preserve">section id: related-briefs — context only, not for editing</w:t>
      </w:r>
    </w:p>
    <w:p>
      <w:pPr>
        <w:spacing w:after="20" w:before="100"/>
      </w:pPr>
      <w:r>
        <w:rPr>
          <w:sz w:val="21"/>
          <w:szCs w:val="21"/>
        </w:rPr>
        <w:t xml:space="preserve">What does this strategy do? It is described, rather than measured, by a reference brief that carries no modeled results: Salmon-friendly flows with groundwater regulations strategy brief.</w:t>
      </w:r>
    </w:p>
    <w:p>
      <w:pPr>
        <w:spacing w:after="40" w:before="40"/>
      </w:pPr>
      <w:r>
        <w:rPr>
          <w:rFonts w:ascii="Consolas" w:cs="Consolas" w:eastAsia="Consolas" w:hAnsi="Consolas"/>
          <w:color w:val="767171"/>
          <w:sz w:val="14"/>
          <w:szCs w:val="14"/>
        </w:rPr>
        <w:t xml:space="preserve">↑ ABOVE: this brief only  ·  id: related-briefs.p.701e4e54</w:t>
      </w:r>
    </w:p>
    <w:p>
      <w:pPr>
        <w:spacing w:after="20" w:before="60"/>
        <w:ind w:left="360"/>
      </w:pPr>
      <w:r>
        <w:rPr>
          <w:sz w:val="21"/>
          <w:szCs w:val="21"/>
        </w:rPr>
        <w:t xml:space="preserve">— Salmon-friendly flows with groundwater regulations — you are here</w:t>
      </w:r>
    </w:p>
    <w:p>
      <w:pPr>
        <w:spacing w:after="40" w:before="40"/>
      </w:pPr>
      <w:r>
        <w:rPr>
          <w:rFonts w:ascii="Consolas" w:cs="Consolas" w:eastAsia="Consolas" w:hAnsi="Consolas"/>
          <w:color w:val="767171"/>
          <w:sz w:val="14"/>
          <w:szCs w:val="14"/>
        </w:rPr>
        <w:t xml:space="preserve">↑ ABOVE: this brief only  ·  id: related-briefs.li.778d8772</w:t>
      </w:r>
    </w:p>
    <w:p>
      <w:pPr>
        <w:pStyle w:val="Heading2"/>
        <w:spacing w:after="40" w:before="280"/>
      </w:pPr>
      <w:r>
        <w:rPr>
          <w:sz w:val="24"/>
          <w:szCs w:val="24"/>
        </w:rPr>
        <w:t xml:space="preserve">References, run identifiers and the build stamp</w:t>
      </w:r>
    </w:p>
    <w:p>
      <w:pPr>
        <w:spacing w:after="60"/>
      </w:pPr>
      <w:r>
        <w:rPr>
          <w:rFonts w:ascii="Consolas" w:cs="Consolas" w:eastAsia="Consolas" w:hAnsi="Consolas"/>
          <w:color w:val="767171"/>
          <w:sz w:val="14"/>
          <w:szCs w:val="14"/>
        </w:rPr>
        <w:t xml:space="preserve">section id: references — context only, not for editing</w:t>
      </w:r>
    </w:p>
    <w:p>
      <w:pPr>
        <w:spacing w:after="20" w:before="100"/>
      </w:pPr>
      <w:r>
        <w:rPr>
          <w:sz w:val="21"/>
          <w:szCs w:val="21"/>
        </w:rPr>
        <w:t xml:space="preserve">Model runs (this strategy / current operations): Historical s0033 / s0020; Moderate s0146 / s0134; Moderate-high s0074 / s0047; High s0094 / s0056; Extreme s0120 / s0108. The baseline is current operations under the historical hydroclimate, s0020.</w:t>
      </w:r>
    </w:p>
    <w:p>
      <w:pPr>
        <w:spacing w:after="40" w:before="40"/>
      </w:pPr>
      <w:r>
        <w:rPr>
          <w:rFonts w:ascii="Consolas" w:cs="Consolas" w:eastAsia="Consolas" w:hAnsi="Consolas"/>
          <w:color w:val="767171"/>
          <w:sz w:val="14"/>
          <w:szCs w:val="14"/>
        </w:rPr>
        <w:t xml:space="preserve">↑ ABOVE: this brief only  ·  id: references.p.62d0c265</w:t>
      </w:r>
    </w:p>
    <w:p>
      <w:pPr>
        <w:spacing w:after="20" w:before="100"/>
      </w:pPr>
      <w:r>
        <w:rPr>
          <w:sz w:val="21"/>
          <w:szCs w:val="21"/>
        </w:rPr>
        <w:t xml:space="preserve">Companion data file: results_salmon-friendly-flows-with-groundwater-regulations_schema1.json, holding every value in this brief plus the per-location counts, the spread measures, the derivation of every number in the prose and the figure’s declared attribute contract. Per-hydroclimate slices: Historical #/rows/*/by_hydroclimate/BL; Moderate #/rows/*/by_hydroclimate/HC4; Moderate-high #/rows/*/by_hydroclimate/HC1; High #/rows/*/by_hydroclimate/HC2; Extreme #/rows/*/by_hydroclimate/HC3. Built from the locked 2026-08-01 API snapshot (api.coeqwal.org v2.1.1 (locked dataset snapshot)). Decomposition per Decomposition_Math_Quickref (coeqwal-viz): the hydroclimate effect is current operations under that hydroclimate minus current operations under the historical hydroclimate; the operations effect is this strategy minus current operations under that same hydroclimate. Axis convention [1, 4.99] per Ordinal_vs_continuous_tiers.md; the visible band is floor(value). A difference of 0.1 tier units is required before a difference is reported as movement, before a location is counted as differing from its comparison, and before an effect prints as anything other than 0.0. Colour semantics (warm = hydroclimate, blue = operations) follow the ops-vs-climate stepper. Strategy identity is its descriptive name; run IDs appear only in this note and the data file.</w:t>
      </w:r>
    </w:p>
    <w:p>
      <w:pPr>
        <w:spacing w:after="40" w:before="40"/>
      </w:pPr>
      <w:r>
        <w:rPr>
          <w:rFonts w:ascii="Consolas" w:cs="Consolas" w:eastAsia="Consolas" w:hAnsi="Consolas"/>
          <w:color w:val="767171"/>
          <w:sz w:val="14"/>
          <w:szCs w:val="14"/>
        </w:rPr>
        <w:t xml:space="preserve">↑ ABOVE: this brief only  ·  id: references.p.12223ec9</w:t>
      </w:r>
    </w:p>
    <w:p>
      <w:pPr>
        <w:pStyle w:val="Heading2"/>
        <w:spacing w:after="40" w:before="280"/>
      </w:pPr>
      <w:r>
        <w:rPr>
          <w:sz w:val="24"/>
          <w:szCs w:val="24"/>
        </w:rPr>
        <w:t xml:space="preserve">Explore further</w:t>
      </w:r>
    </w:p>
    <w:p>
      <w:pPr>
        <w:spacing w:after="60"/>
      </w:pPr>
      <w:r>
        <w:rPr>
          <w:rFonts w:ascii="Consolas" w:cs="Consolas" w:eastAsia="Consolas" w:hAnsi="Consolas"/>
          <w:color w:val="767171"/>
          <w:sz w:val="14"/>
          <w:szCs w:val="14"/>
        </w:rPr>
        <w:t xml:space="preserve">section id: explore-further — context only, not for editing</w:t>
      </w:r>
    </w:p>
    <w:p>
      <w:pPr>
        <w:spacing w:after="20" w:before="100"/>
      </w:pPr>
      <w:r>
        <w:rPr>
          <w:sz w:val="21"/>
          <w:szCs w:val="21"/>
        </w:rPr>
        <w:t xml:space="preserve">Every value on this page comes from the tier data, and the data explorer holds the same data without this brief’s selection of it. The link below opens salmon-friendly flows with groundwater regulations across all five hydroclimates and all nine sectors, so a reader can take the comparison apart, add a hydroclimate or a sector this brief reports as one number, and read the locations behind a sector value directly.</w:t>
      </w:r>
    </w:p>
    <w:p>
      <w:pPr>
        <w:spacing w:after="40" w:before="40"/>
      </w:pPr>
      <w:r>
        <w:rPr>
          <w:rFonts w:ascii="Consolas" w:cs="Consolas" w:eastAsia="Consolas" w:hAnsi="Consolas"/>
          <w:color w:val="767171"/>
          <w:sz w:val="14"/>
          <w:szCs w:val="14"/>
        </w:rPr>
        <w:t xml:space="preserve">↑ ABOVE: this brief only  ·  id: explore-further.p.8fbcf101</w:t>
      </w:r>
    </w:p>
    <w:p>
      <w:pPr>
        <w:spacing w:after="20" w:before="100"/>
      </w:pPr>
      <w:r>
        <w:rPr>
          <w:sz w:val="21"/>
          <w:szCs w:val="21"/>
        </w:rPr>
        <w:t xml:space="preserve">Open salmon-friendly flows with groundwater regulations in the data explorer.</w:t>
      </w:r>
    </w:p>
    <w:p>
      <w:pPr>
        <w:spacing w:after="40" w:before="40"/>
      </w:pPr>
      <w:r>
        <w:rPr>
          <w:rFonts w:ascii="Consolas" w:cs="Consolas" w:eastAsia="Consolas" w:hAnsi="Consolas"/>
          <w:color w:val="767171"/>
          <w:sz w:val="14"/>
          <w:szCs w:val="14"/>
        </w:rPr>
        <w:t xml:space="preserve">↑ ABOVE: this brief only  ·  id: explore-further.p.ca199247</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round 1 — salmon-friendly-flows-with-groundwater-regulations</dc:title>
  <dc:creator>COEQWAL brief builder</dc:creator>
  <cp:lastModifiedBy>Un-named</cp:lastModifiedBy>
  <cp:revision>1</cp:revision>
  <dcterms:created xsi:type="dcterms:W3CDTF">2026-08-09T23:34:32.058Z</dcterms:created>
  <dcterms:modified xsi:type="dcterms:W3CDTF">2026-08-09T23:34:32.058Z</dcterms:modified>
</cp:coreProperties>
</file>

<file path=docProps/custom.xml><?xml version="1.0" encoding="utf-8"?>
<Properties xmlns="http://schemas.openxmlformats.org/officeDocument/2006/custom-properties" xmlns:vt="http://schemas.openxmlformats.org/officeDocument/2006/docPropsVTypes"/>
</file>