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salmon-friendly-flows. Generated from scenario_results_brief_salmon-friendly-flows_prototype_v0_3.html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salmon-friendly-flows — 12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Salmon-friendly flows: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front.h1.2b1f4e11</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25, and the operations effect in 20. The strategy’s value differs from current operations at 107 of the 279 locations reported here under the historical hydroclimate and at 204 under extreme climate stress, and across the five hydroclimates the count ranges from 107 to 204; where it does not differ, the difference from the baseline is the hydroclimate alone. Freshwater for Delta exports is the clearest case of the two effects running opposite ways: under high climate stress the hydroclimate contributes +1.1 and the strategy −1.0, leaving a difference from the baseline of +0.1.</w:t>
      </w:r>
    </w:p>
    <w:p>
      <w:pPr>
        <w:spacing w:after="40" w:before="40"/>
      </w:pPr>
      <w:r>
        <w:rPr>
          <w:rFonts w:ascii="Consolas" w:cs="Consolas" w:eastAsia="Consolas" w:hAnsi="Consolas"/>
          <w:color w:val="767171"/>
          <w:sz w:val="14"/>
          <w:szCs w:val="14"/>
        </w:rPr>
        <w:t xml:space="preserve">↑ ABOVE: this brief only  ·  id: front.p.7b7e5a38</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salmon-friendly flows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what-this-is.p.902640ed</w:t>
      </w:r>
    </w:p>
    <w:p>
      <w:pPr>
        <w:spacing w:after="20" w:before="100"/>
      </w:pPr>
      <w:r>
        <w:rPr>
          <w:sz w:val="21"/>
          <w:szCs w:val="21"/>
        </w:rPr>
        <w:t xml:space="preserve">Against current operations, this strategy differs in one of the eight operational settings the scenario library records: Flows — Seasonal flow requirements on the Sacramento River to support salmon survival, balanced against allocation reductions to protect Shasta storage. For the full configuration, see the salmon-friendly flows strategy brief.</w:t>
      </w:r>
    </w:p>
    <w:p>
      <w:pPr>
        <w:spacing w:after="40" w:before="40"/>
      </w:pPr>
      <w:r>
        <w:rPr>
          <w:rFonts w:ascii="Consolas" w:cs="Consolas" w:eastAsia="Consolas" w:hAnsi="Consolas"/>
          <w:color w:val="767171"/>
          <w:sz w:val="14"/>
          <w:szCs w:val="14"/>
        </w:rPr>
        <w:t xml:space="preserve">↑ ABOVE: this brief only  ·  id: what-this-is.p.bdd5d436</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1.3 to 4.9. Of the 45 results — one sector under one hydroclimate — 20 sit in a different tier band from that sector’s baseline value and 25 sit in the same band; in eight of the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what-the-model-shows.p.572ed28f</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21–45 of the 74 Community water systems locations, 39–117 of the 132 Agriculture locations, as few as 8 and as many as all 17 Environmental flows locations, the one Bay-Delta estuary ecology location under some hydroclimates and not others, the one Winter-run Chinook salmon location under some hydroclimates and not others, all 2 Freshwater for Delta exports locations, as few as 0 and as many as all 2 Freshwater for in-Delta uses locations, as few as 4 and as many as all 8 Reservoir storage locations and 19–24 of the 42 Groundwater storage locations, depending on the hydroclimate — 107 to 204 of the 279 locations reported here. A sector where few locations differ therefore shows a small sector-level difference even when the locations that do differ move by a full tier or more. Read across the five hydroclimates together, 747 of the 1,395 location-and-hydroclimate results reported here differ from current operations: 289 toward Tier 1, 458 toward Tier 4. The median difference over the locations counted runs from 0.1 tier units at Bay-Delta estuary ecology to 1.3 at Reservoir storage. The locations that differ do not all differ in the same direction: in 25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reach.p.bff77111</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Salmon-friendly flows strategy brief.</w:t>
      </w:r>
    </w:p>
    <w:p>
      <w:pPr>
        <w:spacing w:after="40" w:before="40"/>
      </w:pPr>
      <w:r>
        <w:rPr>
          <w:rFonts w:ascii="Consolas" w:cs="Consolas" w:eastAsia="Consolas" w:hAnsi="Consolas"/>
          <w:color w:val="767171"/>
          <w:sz w:val="14"/>
          <w:szCs w:val="14"/>
        </w:rPr>
        <w:t xml:space="preserve">↑ ABOVE: this brief only  ·  id: related-briefs.p.0f6b0adb</w:t>
      </w:r>
    </w:p>
    <w:p>
      <w:pPr>
        <w:spacing w:after="20" w:before="60"/>
        <w:ind w:left="360"/>
      </w:pPr>
      <w:r>
        <w:rPr>
          <w:sz w:val="21"/>
          <w:szCs w:val="21"/>
        </w:rPr>
        <w:t xml:space="preserve">— Salmon-friendly flows — you are here</w:t>
      </w:r>
    </w:p>
    <w:p>
      <w:pPr>
        <w:spacing w:after="40" w:before="40"/>
      </w:pPr>
      <w:r>
        <w:rPr>
          <w:rFonts w:ascii="Consolas" w:cs="Consolas" w:eastAsia="Consolas" w:hAnsi="Consolas"/>
          <w:color w:val="767171"/>
          <w:sz w:val="14"/>
          <w:szCs w:val="14"/>
        </w:rPr>
        <w:t xml:space="preserve">↑ ABOVE: this brief only  ·  id: related-briefs.li.4a21f9c3</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s0031 / s0020; Moderate s0144 / s0134; Moderate-high s0072 / s0047; High s0092 / s0056; Extreme s0118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references.p.9e752ad0</w:t>
      </w:r>
    </w:p>
    <w:p>
      <w:pPr>
        <w:spacing w:after="20" w:before="100"/>
      </w:pPr>
      <w:r>
        <w:rPr>
          <w:sz w:val="21"/>
          <w:szCs w:val="21"/>
        </w:rPr>
        <w:t xml:space="preserve">Companion data file: results_salmon-friendly-flows_schema1.json,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references.p.ff18ca0b</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salmon-friendly flows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explore-further.p.0f24fe29</w:t>
      </w:r>
    </w:p>
    <w:p>
      <w:pPr>
        <w:spacing w:after="20" w:before="100"/>
      </w:pPr>
      <w:r>
        <w:rPr>
          <w:sz w:val="21"/>
          <w:szCs w:val="21"/>
        </w:rPr>
        <w:t xml:space="preserve">Open salmon-friendly flows in the data explorer.</w:t>
      </w:r>
    </w:p>
    <w:p>
      <w:pPr>
        <w:spacing w:after="40" w:before="40"/>
      </w:pPr>
      <w:r>
        <w:rPr>
          <w:rFonts w:ascii="Consolas" w:cs="Consolas" w:eastAsia="Consolas" w:hAnsi="Consolas"/>
          <w:color w:val="767171"/>
          <w:sz w:val="14"/>
          <w:szCs w:val="14"/>
        </w:rPr>
        <w:t xml:space="preserve">↑ ABOVE: this brief only  ·  id: explore-further.p.25e88eb4</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salmon-friendly-flows</dc:title>
  <dc:creator>COEQWAL brief builder</dc:creator>
  <cp:lastModifiedBy>Un-named</cp:lastModifiedBy>
  <cp:revision>1</cp:revision>
  <dcterms:created xsi:type="dcterms:W3CDTF">2026-08-09T23:34:32.063Z</dcterms:created>
  <dcterms:modified xsi:type="dcterms:W3CDTF">2026-08-09T23:34:32.063Z</dcterms:modified>
</cp:coreProperties>
</file>

<file path=docProps/custom.xml><?xml version="1.0" encoding="utf-8"?>
<Properties xmlns="http://schemas.openxmlformats.org/officeDocument/2006/custom-properties" xmlns:vt="http://schemas.openxmlformats.org/officeDocument/2006/docPropsVTypes"/>
</file>