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CE" w:rsidRDefault="00A732F6" w:rsidP="004B1747">
      <w:pPr>
        <w:pStyle w:val="Heading1"/>
      </w:pPr>
      <w:bookmarkStart w:id="0" w:name="_GoBack"/>
      <w:bookmarkEnd w:id="0"/>
      <w:r>
        <w:t xml:space="preserve">Domestic Church: Officer and </w:t>
      </w:r>
      <w:r w:rsidR="002B4C37">
        <w:t>Director</w:t>
      </w:r>
      <w:r>
        <w:t xml:space="preserve"> Role Title Changes</w:t>
      </w:r>
    </w:p>
    <w:p w:rsidR="002B4C37" w:rsidRDefault="00A732F6">
      <w:r>
        <w:t xml:space="preserve">To better align the Order’s programs with </w:t>
      </w:r>
      <w:r w:rsidR="002B4C37">
        <w:t xml:space="preserve">the priorities of the Church, the roles and program types will be updated. </w:t>
      </w:r>
    </w:p>
    <w:p w:rsidR="00A732F6" w:rsidRDefault="002B4C37">
      <w:r>
        <w:t xml:space="preserve">The roles of Council Director and Columbia Squire will be eliminated. The </w:t>
      </w:r>
      <w:r w:rsidR="004B1747">
        <w:t xml:space="preserve">Church Director, Community Director, Culture of Life Director, and Family Director will be changed to Faith Chairman, Community Chairman, Life Chairman and Family Chairman respectively. </w:t>
      </w:r>
    </w:p>
    <w:p w:rsidR="004B1747" w:rsidRDefault="004B1747">
      <w:r>
        <w:t xml:space="preserve">The names of the roles will not be changed in any historical record, the new names will be used going forward from the new Fraternal Year starting in July. </w:t>
      </w:r>
    </w:p>
    <w:p w:rsidR="006A503E" w:rsidRDefault="006A503E"/>
    <w:p w:rsidR="006A503E" w:rsidRDefault="006A503E" w:rsidP="00B11266">
      <w:pPr>
        <w:pStyle w:val="Heading1"/>
      </w:pPr>
      <w:r>
        <w:t>Product Milestone Dates:</w:t>
      </w:r>
    </w:p>
    <w:p w:rsidR="006A503E" w:rsidRDefault="006A503E">
      <w:r>
        <w:t>4/1 – New Fraternal Year Forms Available in Member Management</w:t>
      </w:r>
    </w:p>
    <w:p w:rsidR="006A503E" w:rsidRDefault="006A503E">
      <w:r>
        <w:t xml:space="preserve">6/1 – Anticipated Announcement of these changes by the Supreme Knight and beginning of Fraternal Year End data entry. </w:t>
      </w:r>
    </w:p>
    <w:p w:rsidR="006A503E" w:rsidRDefault="006A503E">
      <w:r>
        <w:t>7/1 – Close of Fraternal Year End activities and resulting batch processes</w:t>
      </w:r>
    </w:p>
    <w:p w:rsidR="006A503E" w:rsidRDefault="006A503E">
      <w:r>
        <w:t xml:space="preserve">7/1 </w:t>
      </w:r>
      <w:r w:rsidR="00EA273E">
        <w:t>to</w:t>
      </w:r>
      <w:r>
        <w:t xml:space="preserve"> </w:t>
      </w:r>
      <w:r w:rsidR="00EA273E">
        <w:t xml:space="preserve">8/1 – Post-batch (late submission) Fraternal End of Year Data Updates. </w:t>
      </w:r>
    </w:p>
    <w:p w:rsidR="00127380" w:rsidRDefault="00127380"/>
    <w:p w:rsidR="00127380" w:rsidRDefault="00127380" w:rsidP="00127380">
      <w:pPr>
        <w:pStyle w:val="Heading1"/>
      </w:pPr>
      <w:r>
        <w:t>Affected Value Stream: Member to Officer</w:t>
      </w:r>
    </w:p>
    <w:p w:rsidR="00127380" w:rsidRDefault="00127380"/>
    <w:p w:rsidR="00127380" w:rsidRDefault="00127380">
      <w:r w:rsidRPr="00127380">
        <w:rPr>
          <w:rFonts w:ascii="Calibri" w:eastAsia="Times New Roman" w:hAnsi="Calibri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A1D23E" wp14:editId="3F0B6260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6126480" cy="548640"/>
            <wp:effectExtent l="0" t="0" r="45720" b="2286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380" w:rsidRDefault="00127380"/>
    <w:p w:rsidR="00127380" w:rsidRDefault="00127380"/>
    <w:tbl>
      <w:tblPr>
        <w:tblW w:w="9810" w:type="dxa"/>
        <w:tblInd w:w="85" w:type="dxa"/>
        <w:tblLook w:val="04A0" w:firstRow="1" w:lastRow="0" w:firstColumn="1" w:lastColumn="0" w:noHBand="0" w:noVBand="1"/>
      </w:tblPr>
      <w:tblGrid>
        <w:gridCol w:w="1486"/>
        <w:gridCol w:w="1651"/>
        <w:gridCol w:w="1490"/>
        <w:gridCol w:w="1286"/>
        <w:gridCol w:w="1303"/>
        <w:gridCol w:w="1489"/>
        <w:gridCol w:w="1105"/>
      </w:tblGrid>
      <w:tr w:rsidR="00127380" w:rsidRPr="00127380" w:rsidTr="000A18A2">
        <w:trPr>
          <w:trHeight w:val="288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Value Stream Stage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Participating Stakeholders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Entrance Criteria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Exit Criteria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Value Items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Technology</w:t>
            </w:r>
          </w:p>
        </w:tc>
      </w:tr>
      <w:tr w:rsidR="00127380" w:rsidRPr="00127380" w:rsidTr="000A18A2">
        <w:trPr>
          <w:trHeight w:val="864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Council Annual Meeting 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Annual election meeting takes place between May 15 and June 15.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Local Council General Membership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Annual election date occurs.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Members are elected or appointed to council roles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Local council management is planned for the upcoming year. 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127380" w:rsidRPr="00127380" w:rsidTr="000A18A2">
        <w:trPr>
          <w:trHeight w:val="3456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Election Results Information Submitted to Supreme Office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Information on election outcomes and appointments is supplied to the supreme office. If information arrives prior to 7/1, it will be processed in the annual batch cycle, if it will be manually entered by a Member Records clerk. Once new roles are processed (via batch or manually), new offices and special program personnel are provided with Officers online access.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Local Council Financial Secretary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Records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Print Processing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Fraternal Mission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Annual election results have been tallied.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Annual election results are reflected in the </w:t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system. 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Local council will remain chartered.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Pending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Management Pending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Management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SABA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Officers Online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DataSync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Paper Forms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Manual Data Entry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Direct Mail??</w:t>
            </w:r>
          </w:p>
        </w:tc>
      </w:tr>
      <w:tr w:rsidR="00127380" w:rsidRPr="00127380" w:rsidTr="000A18A2">
        <w:trPr>
          <w:trHeight w:val="864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Council Training 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New Officers and SPP are offered voluntary training in the responsibilities of their new role.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Fraternal Mission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New Officer/SPP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Officers online credentials were sent to new officers and SPP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Traning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curriculum delivered.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Officers and SPP will be effective in their roles.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SABA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Officers Online</w:t>
            </w:r>
          </w:p>
        </w:tc>
      </w:tr>
      <w:tr w:rsidR="00127380" w:rsidRPr="00127380" w:rsidTr="000A18A2">
        <w:trPr>
          <w:trHeight w:val="1152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Installation Meeting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manditory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council meeting to </w:t>
            </w:r>
            <w:proofErr w:type="gram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install  Officers</w:t>
            </w:r>
            <w:proofErr w:type="gram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and SPP into their roles.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New Officer/SPP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Local Council General Membership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Date for Installation meeting has </w:t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ocurred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Installation meeting has completed. 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Officers officially take their posts to manage the local council. 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Officers Online 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Management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DataSync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</w:p>
        </w:tc>
      </w:tr>
      <w:tr w:rsidR="00127380" w:rsidRPr="00127380" w:rsidTr="000A18A2">
        <w:trPr>
          <w:trHeight w:val="288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27380" w:rsidRPr="00127380" w:rsidTr="000A18A2">
        <w:trPr>
          <w:trHeight w:val="288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27380" w:rsidRPr="00127380" w:rsidTr="000A18A2">
        <w:trPr>
          <w:trHeight w:val="288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127380" w:rsidRDefault="00127380"/>
    <w:sectPr w:rsidR="001273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9E5" w:rsidRDefault="00D179E5" w:rsidP="004B1747">
      <w:pPr>
        <w:spacing w:after="0" w:line="240" w:lineRule="auto"/>
      </w:pPr>
      <w:r>
        <w:separator/>
      </w:r>
    </w:p>
  </w:endnote>
  <w:endnote w:type="continuationSeparator" w:id="0">
    <w:p w:rsidR="00D179E5" w:rsidRDefault="00D179E5" w:rsidP="004B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9E5" w:rsidRDefault="00D179E5" w:rsidP="004B1747">
      <w:pPr>
        <w:spacing w:after="0" w:line="240" w:lineRule="auto"/>
      </w:pPr>
      <w:r>
        <w:separator/>
      </w:r>
    </w:p>
  </w:footnote>
  <w:footnote w:type="continuationSeparator" w:id="0">
    <w:p w:rsidR="00D179E5" w:rsidRDefault="00D179E5" w:rsidP="004B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47" w:rsidRDefault="004B1747">
    <w:pPr>
      <w:pStyle w:val="Header"/>
    </w:pPr>
    <w:r>
      <w:t>AFS: Session 4 – Backlog Building</w:t>
    </w:r>
  </w:p>
  <w:p w:rsidR="004B1747" w:rsidRDefault="004B1747">
    <w:pPr>
      <w:pStyle w:val="Header"/>
    </w:pPr>
    <w:r>
      <w:t>Product Change Definition</w:t>
    </w:r>
  </w:p>
  <w:p w:rsidR="004B1747" w:rsidRDefault="004B1747">
    <w:pPr>
      <w:pStyle w:val="Header"/>
    </w:pPr>
  </w:p>
  <w:p w:rsidR="004B1747" w:rsidRDefault="004B1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F6"/>
    <w:rsid w:val="00012CCE"/>
    <w:rsid w:val="00045929"/>
    <w:rsid w:val="000A18A2"/>
    <w:rsid w:val="00127380"/>
    <w:rsid w:val="002B4C37"/>
    <w:rsid w:val="004B1747"/>
    <w:rsid w:val="006A503E"/>
    <w:rsid w:val="00A732F6"/>
    <w:rsid w:val="00B11266"/>
    <w:rsid w:val="00CE41CE"/>
    <w:rsid w:val="00D179E5"/>
    <w:rsid w:val="00E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5369-6EBB-435B-9622-3667C542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7"/>
  </w:style>
  <w:style w:type="paragraph" w:styleId="Footer">
    <w:name w:val="footer"/>
    <w:basedOn w:val="Normal"/>
    <w:link w:val="FooterChar"/>
    <w:uiPriority w:val="99"/>
    <w:unhideWhenUsed/>
    <w:rsid w:val="004B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7"/>
  </w:style>
  <w:style w:type="character" w:customStyle="1" w:styleId="Heading1Char">
    <w:name w:val="Heading 1 Char"/>
    <w:basedOn w:val="DefaultParagraphFont"/>
    <w:link w:val="Heading1"/>
    <w:uiPriority w:val="9"/>
    <w:rsid w:val="004B1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121E5F-0009-4866-B77F-A6EB2257BF44}" type="doc">
      <dgm:prSet loTypeId="urn:microsoft.com/office/officeart/2005/8/layout/hChevron3" loCatId="process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2E26BACD-334C-44DA-B563-6CF5C3320A2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 b="0" i="0" u="none"/>
            <a:t>Council Annual Meeting </a:t>
          </a:r>
          <a:endParaRPr lang="en-US"/>
        </a:p>
      </dgm:t>
    </dgm:pt>
    <dgm:pt modelId="{AE0B0308-AB0A-4FD5-BA5C-085C7327855A}" type="parTrans" cxnId="{F1FCC68E-0D34-4656-90BD-FDF91BCC6F82}">
      <dgm:prSet/>
      <dgm:spPr/>
      <dgm:t>
        <a:bodyPr/>
        <a:lstStyle/>
        <a:p>
          <a:endParaRPr lang="en-US"/>
        </a:p>
      </dgm:t>
    </dgm:pt>
    <dgm:pt modelId="{2EE2F616-7C60-4BC1-AD6A-E2A59E919B4A}" type="sibTrans" cxnId="{F1FCC68E-0D34-4656-90BD-FDF91BCC6F82}">
      <dgm:prSet/>
      <dgm:spPr/>
      <dgm:t>
        <a:bodyPr/>
        <a:lstStyle/>
        <a:p>
          <a:endParaRPr lang="en-US"/>
        </a:p>
      </dgm:t>
    </dgm:pt>
    <dgm:pt modelId="{BC8E315C-48F0-473A-9098-10E011180BC9}">
      <dgm:prSet/>
      <dgm:spPr>
        <a:solidFill>
          <a:schemeClr val="accent5">
            <a:lumMod val="50000"/>
            <a:alpha val="80000"/>
          </a:schemeClr>
        </a:solidFill>
      </dgm:spPr>
      <dgm:t>
        <a:bodyPr/>
        <a:lstStyle/>
        <a:p>
          <a:r>
            <a:rPr lang="en-US" b="0" i="0" u="none"/>
            <a:t>Member Elected/Appointed</a:t>
          </a:r>
          <a:endParaRPr lang="en-US"/>
        </a:p>
      </dgm:t>
    </dgm:pt>
    <dgm:pt modelId="{81BDC53A-D946-40A2-B744-5BE5EEF240A2}" type="parTrans" cxnId="{456D51D6-CB09-40E4-A79F-0F3B840B09B1}">
      <dgm:prSet/>
      <dgm:spPr/>
      <dgm:t>
        <a:bodyPr/>
        <a:lstStyle/>
        <a:p>
          <a:endParaRPr lang="en-US"/>
        </a:p>
      </dgm:t>
    </dgm:pt>
    <dgm:pt modelId="{A3DD2A9A-78F8-4AC0-AE50-4F213CE5B48C}" type="sibTrans" cxnId="{456D51D6-CB09-40E4-A79F-0F3B840B09B1}">
      <dgm:prSet/>
      <dgm:spPr/>
      <dgm:t>
        <a:bodyPr/>
        <a:lstStyle/>
        <a:p>
          <a:endParaRPr lang="en-US"/>
        </a:p>
      </dgm:t>
    </dgm:pt>
    <dgm:pt modelId="{BA5CCAC5-6715-4F09-95F6-05B2EFEF4F1F}">
      <dgm:prSet/>
      <dgm:spPr>
        <a:solidFill>
          <a:srgbClr val="FFC000">
            <a:alpha val="70000"/>
          </a:srgbClr>
        </a:solidFill>
      </dgm:spPr>
      <dgm:t>
        <a:bodyPr/>
        <a:lstStyle/>
        <a:p>
          <a:r>
            <a:rPr lang="en-US" b="0" i="0" u="none"/>
            <a:t>New Role Information Submission</a:t>
          </a:r>
          <a:endParaRPr lang="en-US"/>
        </a:p>
      </dgm:t>
    </dgm:pt>
    <dgm:pt modelId="{7FD6D258-0C4F-4EAE-8075-DC2D0D013C7D}" type="parTrans" cxnId="{A5180AE1-4DD8-413C-9C91-67F9B60BBB44}">
      <dgm:prSet/>
      <dgm:spPr/>
      <dgm:t>
        <a:bodyPr/>
        <a:lstStyle/>
        <a:p>
          <a:endParaRPr lang="en-US"/>
        </a:p>
      </dgm:t>
    </dgm:pt>
    <dgm:pt modelId="{69F449DD-6558-41C5-8DBA-20B0AC5EB45A}" type="sibTrans" cxnId="{A5180AE1-4DD8-413C-9C91-67F9B60BBB44}">
      <dgm:prSet/>
      <dgm:spPr/>
      <dgm:t>
        <a:bodyPr/>
        <a:lstStyle/>
        <a:p>
          <a:endParaRPr lang="en-US"/>
        </a:p>
      </dgm:t>
    </dgm:pt>
    <dgm:pt modelId="{84B9C1C0-D89D-42FA-A711-926CDF200B7A}">
      <dgm:prSet/>
      <dgm:spPr>
        <a:solidFill>
          <a:schemeClr val="accent6">
            <a:lumMod val="75000"/>
            <a:alpha val="60000"/>
          </a:schemeClr>
        </a:solidFill>
      </dgm:spPr>
      <dgm:t>
        <a:bodyPr/>
        <a:lstStyle/>
        <a:p>
          <a:r>
            <a:rPr lang="en-US" b="0" i="0" u="none"/>
            <a:t>Council Training </a:t>
          </a:r>
          <a:endParaRPr lang="en-US"/>
        </a:p>
      </dgm:t>
    </dgm:pt>
    <dgm:pt modelId="{06561B85-7498-48A9-837A-2B4BFDF15A2A}" type="parTrans" cxnId="{8B37FAEE-14D2-4FC9-9251-75A67244C6D8}">
      <dgm:prSet/>
      <dgm:spPr/>
      <dgm:t>
        <a:bodyPr/>
        <a:lstStyle/>
        <a:p>
          <a:endParaRPr lang="en-US"/>
        </a:p>
      </dgm:t>
    </dgm:pt>
    <dgm:pt modelId="{7B76EF13-9CFA-40A6-8273-E46FCEC3FCA9}" type="sibTrans" cxnId="{8B37FAEE-14D2-4FC9-9251-75A67244C6D8}">
      <dgm:prSet/>
      <dgm:spPr/>
      <dgm:t>
        <a:bodyPr/>
        <a:lstStyle/>
        <a:p>
          <a:endParaRPr lang="en-US"/>
        </a:p>
      </dgm:t>
    </dgm:pt>
    <dgm:pt modelId="{F3B99CF1-A4AB-4C35-B218-ED7961A729BC}">
      <dgm:prSet/>
      <dgm:spPr>
        <a:solidFill>
          <a:srgbClr val="00B0F0">
            <a:alpha val="50000"/>
          </a:srgbClr>
        </a:solidFill>
      </dgm:spPr>
      <dgm:t>
        <a:bodyPr/>
        <a:lstStyle/>
        <a:p>
          <a:r>
            <a:rPr lang="en-US" b="0" i="0" u="none"/>
            <a:t>Installation Meeting</a:t>
          </a:r>
          <a:endParaRPr lang="en-US"/>
        </a:p>
      </dgm:t>
    </dgm:pt>
    <dgm:pt modelId="{209B6F43-48A9-4465-88B9-523EC11DBA0F}" type="parTrans" cxnId="{F43AAF27-57BE-4BAA-A8E3-C71F25EDEFC8}">
      <dgm:prSet/>
      <dgm:spPr/>
      <dgm:t>
        <a:bodyPr/>
        <a:lstStyle/>
        <a:p>
          <a:endParaRPr lang="en-US"/>
        </a:p>
      </dgm:t>
    </dgm:pt>
    <dgm:pt modelId="{850AFD04-2B11-4046-9271-EF3EEBBFDAAB}" type="sibTrans" cxnId="{F43AAF27-57BE-4BAA-A8E3-C71F25EDEFC8}">
      <dgm:prSet/>
      <dgm:spPr/>
      <dgm:t>
        <a:bodyPr/>
        <a:lstStyle/>
        <a:p>
          <a:endParaRPr lang="en-US"/>
        </a:p>
      </dgm:t>
    </dgm:pt>
    <dgm:pt modelId="{03A0D8DD-5C17-48A3-920D-202AC2A4C9E5}" type="pres">
      <dgm:prSet presAssocID="{38121E5F-0009-4866-B77F-A6EB2257BF4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FC9DA42-3905-42E4-90CD-378A58190412}" type="pres">
      <dgm:prSet presAssocID="{2E26BACD-334C-44DA-B563-6CF5C3320A29}" presName="parTxOnly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772600-89F1-4B59-BE27-938C6209BBAB}" type="pres">
      <dgm:prSet presAssocID="{2EE2F616-7C60-4BC1-AD6A-E2A59E919B4A}" presName="parSpace" presStyleCnt="0"/>
      <dgm:spPr/>
      <dgm:t>
        <a:bodyPr/>
        <a:lstStyle/>
        <a:p>
          <a:endParaRPr lang="en-US"/>
        </a:p>
      </dgm:t>
    </dgm:pt>
    <dgm:pt modelId="{E0F351C6-7541-4EA5-910E-3393A8FF41B9}" type="pres">
      <dgm:prSet presAssocID="{BC8E315C-48F0-473A-9098-10E011180BC9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B66C2-C7CB-410A-920B-12470DC8269B}" type="pres">
      <dgm:prSet presAssocID="{A3DD2A9A-78F8-4AC0-AE50-4F213CE5B48C}" presName="parSpace" presStyleCnt="0"/>
      <dgm:spPr/>
      <dgm:t>
        <a:bodyPr/>
        <a:lstStyle/>
        <a:p>
          <a:endParaRPr lang="en-US"/>
        </a:p>
      </dgm:t>
    </dgm:pt>
    <dgm:pt modelId="{22589BE8-1C04-448E-8AB8-9D0C355A2272}" type="pres">
      <dgm:prSet presAssocID="{BA5CCAC5-6715-4F09-95F6-05B2EFEF4F1F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70CBE1-F7C5-4E75-9E89-2AF2C739FAD1}" type="pres">
      <dgm:prSet presAssocID="{69F449DD-6558-41C5-8DBA-20B0AC5EB45A}" presName="parSpace" presStyleCnt="0"/>
      <dgm:spPr/>
      <dgm:t>
        <a:bodyPr/>
        <a:lstStyle/>
        <a:p>
          <a:endParaRPr lang="en-US"/>
        </a:p>
      </dgm:t>
    </dgm:pt>
    <dgm:pt modelId="{EC9A187E-3A49-489D-A253-C697E72EC887}" type="pres">
      <dgm:prSet presAssocID="{84B9C1C0-D89D-42FA-A711-926CDF200B7A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D0AB3-F6F1-4994-B5F0-3A7AC5A9F784}" type="pres">
      <dgm:prSet presAssocID="{7B76EF13-9CFA-40A6-8273-E46FCEC3FCA9}" presName="parSpace" presStyleCnt="0"/>
      <dgm:spPr/>
      <dgm:t>
        <a:bodyPr/>
        <a:lstStyle/>
        <a:p>
          <a:endParaRPr lang="en-US"/>
        </a:p>
      </dgm:t>
    </dgm:pt>
    <dgm:pt modelId="{D27E13D0-3232-40AA-A460-D07C267FF162}" type="pres">
      <dgm:prSet presAssocID="{F3B99CF1-A4AB-4C35-B218-ED7961A729BC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619579-B2BF-4DF7-9EF7-DD50EB63FD49}" type="presOf" srcId="{38121E5F-0009-4866-B77F-A6EB2257BF44}" destId="{03A0D8DD-5C17-48A3-920D-202AC2A4C9E5}" srcOrd="0" destOrd="0" presId="urn:microsoft.com/office/officeart/2005/8/layout/hChevron3"/>
    <dgm:cxn modelId="{8B37FAEE-14D2-4FC9-9251-75A67244C6D8}" srcId="{38121E5F-0009-4866-B77F-A6EB2257BF44}" destId="{84B9C1C0-D89D-42FA-A711-926CDF200B7A}" srcOrd="3" destOrd="0" parTransId="{06561B85-7498-48A9-837A-2B4BFDF15A2A}" sibTransId="{7B76EF13-9CFA-40A6-8273-E46FCEC3FCA9}"/>
    <dgm:cxn modelId="{7D508435-1313-49FD-BAA2-3A840B6345C6}" type="presOf" srcId="{BA5CCAC5-6715-4F09-95F6-05B2EFEF4F1F}" destId="{22589BE8-1C04-448E-8AB8-9D0C355A2272}" srcOrd="0" destOrd="0" presId="urn:microsoft.com/office/officeart/2005/8/layout/hChevron3"/>
    <dgm:cxn modelId="{A5180AE1-4DD8-413C-9C91-67F9B60BBB44}" srcId="{38121E5F-0009-4866-B77F-A6EB2257BF44}" destId="{BA5CCAC5-6715-4F09-95F6-05B2EFEF4F1F}" srcOrd="2" destOrd="0" parTransId="{7FD6D258-0C4F-4EAE-8075-DC2D0D013C7D}" sibTransId="{69F449DD-6558-41C5-8DBA-20B0AC5EB45A}"/>
    <dgm:cxn modelId="{9CD6F5FD-3212-4396-817D-F1214EF96A4D}" type="presOf" srcId="{BC8E315C-48F0-473A-9098-10E011180BC9}" destId="{E0F351C6-7541-4EA5-910E-3393A8FF41B9}" srcOrd="0" destOrd="0" presId="urn:microsoft.com/office/officeart/2005/8/layout/hChevron3"/>
    <dgm:cxn modelId="{456D51D6-CB09-40E4-A79F-0F3B840B09B1}" srcId="{38121E5F-0009-4866-B77F-A6EB2257BF44}" destId="{BC8E315C-48F0-473A-9098-10E011180BC9}" srcOrd="1" destOrd="0" parTransId="{81BDC53A-D946-40A2-B744-5BE5EEF240A2}" sibTransId="{A3DD2A9A-78F8-4AC0-AE50-4F213CE5B48C}"/>
    <dgm:cxn modelId="{6151779B-136B-4253-8864-3B840329308E}" type="presOf" srcId="{2E26BACD-334C-44DA-B563-6CF5C3320A29}" destId="{7FC9DA42-3905-42E4-90CD-378A58190412}" srcOrd="0" destOrd="0" presId="urn:microsoft.com/office/officeart/2005/8/layout/hChevron3"/>
    <dgm:cxn modelId="{F1FCC68E-0D34-4656-90BD-FDF91BCC6F82}" srcId="{38121E5F-0009-4866-B77F-A6EB2257BF44}" destId="{2E26BACD-334C-44DA-B563-6CF5C3320A29}" srcOrd="0" destOrd="0" parTransId="{AE0B0308-AB0A-4FD5-BA5C-085C7327855A}" sibTransId="{2EE2F616-7C60-4BC1-AD6A-E2A59E919B4A}"/>
    <dgm:cxn modelId="{F43AAF27-57BE-4BAA-A8E3-C71F25EDEFC8}" srcId="{38121E5F-0009-4866-B77F-A6EB2257BF44}" destId="{F3B99CF1-A4AB-4C35-B218-ED7961A729BC}" srcOrd="4" destOrd="0" parTransId="{209B6F43-48A9-4465-88B9-523EC11DBA0F}" sibTransId="{850AFD04-2B11-4046-9271-EF3EEBBFDAAB}"/>
    <dgm:cxn modelId="{1C02465B-06B6-4C7F-881B-593A10AF73DF}" type="presOf" srcId="{F3B99CF1-A4AB-4C35-B218-ED7961A729BC}" destId="{D27E13D0-3232-40AA-A460-D07C267FF162}" srcOrd="0" destOrd="0" presId="urn:microsoft.com/office/officeart/2005/8/layout/hChevron3"/>
    <dgm:cxn modelId="{C5A1B52B-4F92-4184-8D9A-9DB8DEE7325B}" type="presOf" srcId="{84B9C1C0-D89D-42FA-A711-926CDF200B7A}" destId="{EC9A187E-3A49-489D-A253-C697E72EC887}" srcOrd="0" destOrd="0" presId="urn:microsoft.com/office/officeart/2005/8/layout/hChevron3"/>
    <dgm:cxn modelId="{33B56420-8CB6-4855-A9E8-DF988F79953D}" type="presParOf" srcId="{03A0D8DD-5C17-48A3-920D-202AC2A4C9E5}" destId="{7FC9DA42-3905-42E4-90CD-378A58190412}" srcOrd="0" destOrd="0" presId="urn:microsoft.com/office/officeart/2005/8/layout/hChevron3"/>
    <dgm:cxn modelId="{C970942E-7F0A-4D0C-9F5F-8CAC795E0DFD}" type="presParOf" srcId="{03A0D8DD-5C17-48A3-920D-202AC2A4C9E5}" destId="{A9772600-89F1-4B59-BE27-938C6209BBAB}" srcOrd="1" destOrd="0" presId="urn:microsoft.com/office/officeart/2005/8/layout/hChevron3"/>
    <dgm:cxn modelId="{2F169C67-BB68-414A-B410-13E2D585AB61}" type="presParOf" srcId="{03A0D8DD-5C17-48A3-920D-202AC2A4C9E5}" destId="{E0F351C6-7541-4EA5-910E-3393A8FF41B9}" srcOrd="2" destOrd="0" presId="urn:microsoft.com/office/officeart/2005/8/layout/hChevron3"/>
    <dgm:cxn modelId="{29E55214-E256-4027-8326-48B16C7F7220}" type="presParOf" srcId="{03A0D8DD-5C17-48A3-920D-202AC2A4C9E5}" destId="{822B66C2-C7CB-410A-920B-12470DC8269B}" srcOrd="3" destOrd="0" presId="urn:microsoft.com/office/officeart/2005/8/layout/hChevron3"/>
    <dgm:cxn modelId="{3DCB6E49-3378-402D-A057-DC0D6C80F8DC}" type="presParOf" srcId="{03A0D8DD-5C17-48A3-920D-202AC2A4C9E5}" destId="{22589BE8-1C04-448E-8AB8-9D0C355A2272}" srcOrd="4" destOrd="0" presId="urn:microsoft.com/office/officeart/2005/8/layout/hChevron3"/>
    <dgm:cxn modelId="{28B4A6D9-34DE-40E4-B8EC-07D17D04F34B}" type="presParOf" srcId="{03A0D8DD-5C17-48A3-920D-202AC2A4C9E5}" destId="{D270CBE1-F7C5-4E75-9E89-2AF2C739FAD1}" srcOrd="5" destOrd="0" presId="urn:microsoft.com/office/officeart/2005/8/layout/hChevron3"/>
    <dgm:cxn modelId="{CB72F140-18F6-486D-B5F2-C24FD24ECDC5}" type="presParOf" srcId="{03A0D8DD-5C17-48A3-920D-202AC2A4C9E5}" destId="{EC9A187E-3A49-489D-A253-C697E72EC887}" srcOrd="6" destOrd="0" presId="urn:microsoft.com/office/officeart/2005/8/layout/hChevron3"/>
    <dgm:cxn modelId="{F60A0720-180A-42C9-8615-9A9BD4B66070}" type="presParOf" srcId="{03A0D8DD-5C17-48A3-920D-202AC2A4C9E5}" destId="{A44D0AB3-F6F1-4994-B5F0-3A7AC5A9F784}" srcOrd="7" destOrd="0" presId="urn:microsoft.com/office/officeart/2005/8/layout/hChevron3"/>
    <dgm:cxn modelId="{C4C27EDD-1EAE-4F9B-892E-63F79B911D99}" type="presParOf" srcId="{03A0D8DD-5C17-48A3-920D-202AC2A4C9E5}" destId="{D27E13D0-3232-40AA-A460-D07C267FF162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C9DA42-3905-42E4-90CD-378A58190412}">
      <dsp:nvSpPr>
        <dsp:cNvPr id="0" name=""/>
        <dsp:cNvSpPr/>
      </dsp:nvSpPr>
      <dsp:spPr>
        <a:xfrm>
          <a:off x="747" y="0"/>
          <a:ext cx="1458329" cy="548640"/>
        </a:xfrm>
        <a:prstGeom prst="homePlate">
          <a:avLst/>
        </a:prstGeom>
        <a:solidFill>
          <a:srgbClr val="FF0000">
            <a:alpha val="9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Council Annual Meeting </a:t>
          </a:r>
          <a:endParaRPr lang="en-US" sz="800" kern="1200"/>
        </a:p>
      </dsp:txBody>
      <dsp:txXfrm>
        <a:off x="747" y="0"/>
        <a:ext cx="1321169" cy="548640"/>
      </dsp:txXfrm>
    </dsp:sp>
    <dsp:sp modelId="{E0F351C6-7541-4EA5-910E-3393A8FF41B9}">
      <dsp:nvSpPr>
        <dsp:cNvPr id="0" name=""/>
        <dsp:cNvSpPr/>
      </dsp:nvSpPr>
      <dsp:spPr>
        <a:xfrm>
          <a:off x="1167411" y="0"/>
          <a:ext cx="1458329" cy="548640"/>
        </a:xfrm>
        <a:prstGeom prst="chevron">
          <a:avLst/>
        </a:prstGeom>
        <a:solidFill>
          <a:schemeClr val="accent5">
            <a:lumMod val="50000"/>
            <a:alpha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Member Elected/Appointed</a:t>
          </a:r>
          <a:endParaRPr lang="en-US" sz="800" kern="1200"/>
        </a:p>
      </dsp:txBody>
      <dsp:txXfrm>
        <a:off x="1441731" y="0"/>
        <a:ext cx="909689" cy="548640"/>
      </dsp:txXfrm>
    </dsp:sp>
    <dsp:sp modelId="{22589BE8-1C04-448E-8AB8-9D0C355A2272}">
      <dsp:nvSpPr>
        <dsp:cNvPr id="0" name=""/>
        <dsp:cNvSpPr/>
      </dsp:nvSpPr>
      <dsp:spPr>
        <a:xfrm>
          <a:off x="2334075" y="0"/>
          <a:ext cx="1458329" cy="548640"/>
        </a:xfrm>
        <a:prstGeom prst="chevron">
          <a:avLst/>
        </a:prstGeom>
        <a:solidFill>
          <a:srgbClr val="FFC000">
            <a:alpha val="7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New Role Information Submission</a:t>
          </a:r>
          <a:endParaRPr lang="en-US" sz="800" kern="1200"/>
        </a:p>
      </dsp:txBody>
      <dsp:txXfrm>
        <a:off x="2608395" y="0"/>
        <a:ext cx="909689" cy="548640"/>
      </dsp:txXfrm>
    </dsp:sp>
    <dsp:sp modelId="{EC9A187E-3A49-489D-A253-C697E72EC887}">
      <dsp:nvSpPr>
        <dsp:cNvPr id="0" name=""/>
        <dsp:cNvSpPr/>
      </dsp:nvSpPr>
      <dsp:spPr>
        <a:xfrm>
          <a:off x="3500738" y="0"/>
          <a:ext cx="1458329" cy="548640"/>
        </a:xfrm>
        <a:prstGeom prst="chevron">
          <a:avLst/>
        </a:prstGeom>
        <a:solidFill>
          <a:schemeClr val="accent6">
            <a:lumMod val="75000"/>
            <a:alpha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Council Training </a:t>
          </a:r>
          <a:endParaRPr lang="en-US" sz="800" kern="1200"/>
        </a:p>
      </dsp:txBody>
      <dsp:txXfrm>
        <a:off x="3775058" y="0"/>
        <a:ext cx="909689" cy="548640"/>
      </dsp:txXfrm>
    </dsp:sp>
    <dsp:sp modelId="{D27E13D0-3232-40AA-A460-D07C267FF162}">
      <dsp:nvSpPr>
        <dsp:cNvPr id="0" name=""/>
        <dsp:cNvSpPr/>
      </dsp:nvSpPr>
      <dsp:spPr>
        <a:xfrm>
          <a:off x="4667402" y="0"/>
          <a:ext cx="1458329" cy="548640"/>
        </a:xfrm>
        <a:prstGeom prst="chevron">
          <a:avLst/>
        </a:prstGeom>
        <a:solidFill>
          <a:srgbClr val="00B0F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Installation Meeting</a:t>
          </a:r>
          <a:endParaRPr lang="en-US" sz="800" kern="1200"/>
        </a:p>
      </dsp:txBody>
      <dsp:txXfrm>
        <a:off x="4941722" y="0"/>
        <a:ext cx="909689" cy="54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2CF9-98B1-4D53-A318-848A96FE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2</cp:revision>
  <dcterms:created xsi:type="dcterms:W3CDTF">2018-05-24T18:49:00Z</dcterms:created>
  <dcterms:modified xsi:type="dcterms:W3CDTF">2018-05-24T18:49:00Z</dcterms:modified>
</cp:coreProperties>
</file>