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9F990" w14:textId="47179FC9" w:rsidR="001D3B3B" w:rsidRPr="0056340B" w:rsidRDefault="00F438B5" w:rsidP="002449B9">
      <w:pPr>
        <w:jc w:val="left"/>
      </w:pPr>
      <w:r w:rsidRPr="0056340B">
        <w:rPr>
          <w:noProof/>
        </w:rPr>
        <w:drawing>
          <wp:anchor distT="0" distB="0" distL="114300" distR="114300" simplePos="0" relativeHeight="251660288" behindDoc="0" locked="0" layoutInCell="1" allowOverlap="1" wp14:anchorId="60CB437E" wp14:editId="740CAEA7">
            <wp:simplePos x="0" y="0"/>
            <wp:positionH relativeFrom="column">
              <wp:posOffset>2832100</wp:posOffset>
            </wp:positionH>
            <wp:positionV relativeFrom="paragraph">
              <wp:posOffset>-252730</wp:posOffset>
            </wp:positionV>
            <wp:extent cx="1950720" cy="1419225"/>
            <wp:effectExtent l="0" t="0" r="5080" b="3175"/>
            <wp:wrapNone/>
            <wp:docPr id="1087242344" name="Picture 1" descr="A white squar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242344" name="Picture 1" descr="A white square with black text&#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50720" cy="141922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772ACB64" wp14:editId="026EDCB5">
                <wp:simplePos x="0" y="0"/>
                <wp:positionH relativeFrom="column">
                  <wp:posOffset>-140063</wp:posOffset>
                </wp:positionH>
                <wp:positionV relativeFrom="paragraph">
                  <wp:posOffset>-254000</wp:posOffset>
                </wp:positionV>
                <wp:extent cx="2922270" cy="1861185"/>
                <wp:effectExtent l="0" t="0" r="0" b="5715"/>
                <wp:wrapNone/>
                <wp:docPr id="1913320689" name="Text Box 2"/>
                <wp:cNvGraphicFramePr/>
                <a:graphic xmlns:a="http://schemas.openxmlformats.org/drawingml/2006/main">
                  <a:graphicData uri="http://schemas.microsoft.com/office/word/2010/wordprocessingShape">
                    <wps:wsp>
                      <wps:cNvSpPr txBox="1"/>
                      <wps:spPr>
                        <a:xfrm>
                          <a:off x="0" y="0"/>
                          <a:ext cx="2922270" cy="1861185"/>
                        </a:xfrm>
                        <a:prstGeom prst="rect">
                          <a:avLst/>
                        </a:prstGeom>
                        <a:solidFill>
                          <a:schemeClr val="lt1"/>
                        </a:solidFill>
                        <a:ln w="6350">
                          <a:noFill/>
                        </a:ln>
                      </wps:spPr>
                      <wps:txbx>
                        <w:txbxContent>
                          <w:p w14:paraId="284D072E" w14:textId="77777777" w:rsidR="002449B9" w:rsidRPr="002449B9" w:rsidRDefault="002449B9" w:rsidP="00F438B5">
                            <w:pPr>
                              <w:pStyle w:val="NormalWeb"/>
                              <w:spacing w:before="0" w:beforeAutospacing="0"/>
                              <w:jc w:val="right"/>
                              <w:rPr>
                                <w:color w:val="000000"/>
                                <w:sz w:val="18"/>
                                <w:szCs w:val="18"/>
                              </w:rPr>
                            </w:pPr>
                            <w:r w:rsidRPr="002449B9">
                              <w:rPr>
                                <w:color w:val="000000"/>
                                <w:sz w:val="18"/>
                                <w:szCs w:val="18"/>
                              </w:rPr>
                              <w:t>Advocaat Julie Goyvaerts</w:t>
                            </w:r>
                            <w:r w:rsidRPr="002449B9">
                              <w:rPr>
                                <w:color w:val="000000"/>
                                <w:sz w:val="18"/>
                                <w:szCs w:val="18"/>
                              </w:rPr>
                              <w:br/>
                              <w:t>Kasteelpleinstraat 79</w:t>
                            </w:r>
                            <w:r w:rsidRPr="002449B9">
                              <w:rPr>
                                <w:color w:val="000000"/>
                                <w:sz w:val="18"/>
                                <w:szCs w:val="18"/>
                              </w:rPr>
                              <w:br/>
                              <w:t>2000 Antwerpen</w:t>
                            </w:r>
                          </w:p>
                          <w:p w14:paraId="2E194641" w14:textId="77777777" w:rsidR="002449B9" w:rsidRPr="002449B9" w:rsidRDefault="002449B9" w:rsidP="00F438B5">
                            <w:pPr>
                              <w:pStyle w:val="NormalWeb"/>
                              <w:spacing w:before="0" w:beforeAutospacing="0"/>
                              <w:jc w:val="right"/>
                              <w:rPr>
                                <w:color w:val="000000"/>
                                <w:sz w:val="18"/>
                                <w:szCs w:val="18"/>
                              </w:rPr>
                            </w:pPr>
                            <w:r w:rsidRPr="002449B9">
                              <w:rPr>
                                <w:color w:val="000000"/>
                                <w:sz w:val="18"/>
                                <w:szCs w:val="18"/>
                              </w:rPr>
                              <w:t>Telefoon:</w:t>
                            </w:r>
                            <w:r w:rsidRPr="002449B9">
                              <w:rPr>
                                <w:rStyle w:val="apple-converted-space"/>
                                <w:rFonts w:eastAsiaTheme="majorEastAsia"/>
                                <w:color w:val="000000"/>
                                <w:sz w:val="18"/>
                                <w:szCs w:val="18"/>
                              </w:rPr>
                              <w:t> </w:t>
                            </w:r>
                            <w:hyperlink r:id="rId8" w:history="1">
                              <w:r w:rsidRPr="002449B9">
                                <w:rPr>
                                  <w:rStyle w:val="Hyperlink"/>
                                  <w:rFonts w:eastAsiaTheme="majorEastAsia"/>
                                  <w:sz w:val="18"/>
                                  <w:szCs w:val="18"/>
                                </w:rPr>
                                <w:t>+32 493 86 15 66</w:t>
                              </w:r>
                            </w:hyperlink>
                            <w:r w:rsidRPr="002449B9">
                              <w:rPr>
                                <w:color w:val="000000"/>
                                <w:sz w:val="18"/>
                                <w:szCs w:val="18"/>
                              </w:rPr>
                              <w:br/>
                              <w:t>E-mail:</w:t>
                            </w:r>
                            <w:r w:rsidRPr="002449B9">
                              <w:rPr>
                                <w:rStyle w:val="apple-converted-space"/>
                                <w:rFonts w:eastAsiaTheme="majorEastAsia"/>
                                <w:color w:val="000000"/>
                                <w:sz w:val="18"/>
                                <w:szCs w:val="18"/>
                              </w:rPr>
                              <w:t> </w:t>
                            </w:r>
                            <w:hyperlink r:id="rId9" w:history="1">
                              <w:r w:rsidRPr="002449B9">
                                <w:rPr>
                                  <w:rStyle w:val="Hyperlink"/>
                                  <w:rFonts w:eastAsiaTheme="majorEastAsia"/>
                                  <w:sz w:val="18"/>
                                  <w:szCs w:val="18"/>
                                </w:rPr>
                                <w:t>julie.goyvaerts@advocaat.be</w:t>
                              </w:r>
                            </w:hyperlink>
                          </w:p>
                          <w:p w14:paraId="1AA8FD96" w14:textId="77777777" w:rsidR="002449B9" w:rsidRPr="002449B9" w:rsidRDefault="002449B9" w:rsidP="00F438B5">
                            <w:pPr>
                              <w:pStyle w:val="NormalWeb"/>
                              <w:spacing w:before="0" w:beforeAutospacing="0"/>
                              <w:jc w:val="right"/>
                              <w:rPr>
                                <w:color w:val="000000"/>
                                <w:sz w:val="18"/>
                                <w:szCs w:val="18"/>
                              </w:rPr>
                            </w:pPr>
                            <w:r w:rsidRPr="002449B9">
                              <w:rPr>
                                <w:color w:val="000000"/>
                                <w:sz w:val="18"/>
                                <w:szCs w:val="18"/>
                              </w:rPr>
                              <w:t>KBO-nummer: BE0751.922.224</w:t>
                            </w:r>
                            <w:r w:rsidRPr="002449B9">
                              <w:rPr>
                                <w:color w:val="000000"/>
                                <w:sz w:val="18"/>
                                <w:szCs w:val="18"/>
                              </w:rPr>
                              <w:br/>
                              <w:t>Derdenrekening: BE85 6304 2321 5406</w:t>
                            </w:r>
                          </w:p>
                          <w:p w14:paraId="7F4C6EB3" w14:textId="77777777" w:rsidR="002449B9" w:rsidRPr="002449B9" w:rsidRDefault="002449B9" w:rsidP="00F438B5">
                            <w:pPr>
                              <w:jc w:val="right"/>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ACB64" id="_x0000_t202" coordsize="21600,21600" o:spt="202" path="m,l,21600r21600,l21600,xe">
                <v:stroke joinstyle="miter"/>
                <v:path gradientshapeok="t" o:connecttype="rect"/>
              </v:shapetype>
              <v:shape id="Text Box 2" o:spid="_x0000_s1026" type="#_x0000_t202" style="position:absolute;margin-left:-11.05pt;margin-top:-20pt;width:230.1pt;height:14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UtBsLgIAAFUEAAAOAAAAZHJzL2Uyb0RvYy54bWysVE2P2jAQvVfqf7B8LyEpsGxEWFFWVJXQ&#13;&#10;7kpstWfj2BDJ8bi2IaG/vmMnfHTbU9WLM+MZP8+8ec7soa0VOQrrKtAFTQdDSoTmUFZ6V9Dvr6tP&#13;&#10;U0qcZ7pkCrQo6Ek4+jD/+GHWmFxksAdVCksQRLu8MQXde2/yJHF8L2rmBmCExqAEWzOPrt0lpWUN&#13;&#10;otcqyYbDSdKALY0FLpzD3ccuSOcRX0rB/bOUTniiCoq1+bjauG7DmsxnLN9ZZvYV78tg/1BFzSqN&#13;&#10;l16gHpln5GCrP6DqiltwIP2AQ52AlBUXsQfsJh2+62azZ0bEXpAcZy40uf8Hy5+OG/NiiW+/QIsD&#13;&#10;DIQ0xuUON0M/rbR1+GKlBONI4elCm2g94biZ3WdZdochjrF0OknT6TjgJNfjxjr/VUBNglFQi3OJ&#13;&#10;dLHj2vku9ZwSbnOgqnJVKRWdoAWxVJYcGU5R+Vgkgv+WpTRpCjr5PB5GYA3heIesNNZybSpYvt22&#13;&#10;fadbKE9IgIVOG87wVYVFrpnzL8yiGLAxFLh/xkUqwEugtyjZg/35t/2QjzPCKCUNiqug7seBWUGJ&#13;&#10;+qZxevfpaBTUGJ3R+C5Dx95GtrcRfaiXgJ2n+JQMj2bI9+psSgv1G76DRbgVQ0xzvLug/mwufSd5&#13;&#10;fEdcLBYxCfVnmF/rjeEBOjAdRvDavjFr+jl5HPETnGXI8nfj6nLDSQ2LgwdZxVkGgjtWe95Ru1EN&#13;&#10;/TsLj+PWj1nXv8H8FwAAAP//AwBQSwMEFAAGAAgAAAAhALDemTPjAAAAEAEAAA8AAABkcnMvZG93&#13;&#10;bnJldi54bWxMT8lOwzAQvSPxD9YgcUGts7RQpXEqxCpxo2ERNzcekoh4HMVuEv6e4QSX0Sxv3pLv&#13;&#10;ZtuJEQffOlIQLyMQSJUzLdUKXsr7xQaED5qM7hyhgm/0sCtOT3KdGTfRM477UAsmIZ9pBU0IfSal&#13;&#10;rxq02i9dj8S3TzdYHXgcamkGPTG57WQSRZfS6pZYodE93jRYfe2PVsHHRf3+5OeH1yldp/3d41he&#13;&#10;vZlSqfOz+XbL5XoLIuAc/j7gNwP7h4KNHdyRjBedgkWSxAzlZhVxMkas0g1vDgqSdRqDLHL5P0jx&#13;&#10;AwAA//8DAFBLAQItABQABgAIAAAAIQC2gziS/gAAAOEBAAATAAAAAAAAAAAAAAAAAAAAAABbQ29u&#13;&#10;dGVudF9UeXBlc10ueG1sUEsBAi0AFAAGAAgAAAAhADj9If/WAAAAlAEAAAsAAAAAAAAAAAAAAAAA&#13;&#10;LwEAAF9yZWxzLy5yZWxzUEsBAi0AFAAGAAgAAAAhADNS0GwuAgAAVQQAAA4AAAAAAAAAAAAAAAAA&#13;&#10;LgIAAGRycy9lMm9Eb2MueG1sUEsBAi0AFAAGAAgAAAAhALDemTPjAAAAEAEAAA8AAAAAAAAAAAAA&#13;&#10;AAAAiAQAAGRycy9kb3ducmV2LnhtbFBLBQYAAAAABAAEAPMAAACYBQAAAAA=&#13;&#10;" fillcolor="white [3201]" stroked="f" strokeweight=".5pt">
                <v:textbox>
                  <w:txbxContent>
                    <w:p w14:paraId="284D072E" w14:textId="77777777" w:rsidR="002449B9" w:rsidRPr="002449B9" w:rsidRDefault="002449B9" w:rsidP="00F438B5">
                      <w:pPr>
                        <w:pStyle w:val="NormalWeb"/>
                        <w:spacing w:before="0" w:beforeAutospacing="0"/>
                        <w:jc w:val="right"/>
                        <w:rPr>
                          <w:color w:val="000000"/>
                          <w:sz w:val="18"/>
                          <w:szCs w:val="18"/>
                        </w:rPr>
                      </w:pPr>
                      <w:r w:rsidRPr="002449B9">
                        <w:rPr>
                          <w:color w:val="000000"/>
                          <w:sz w:val="18"/>
                          <w:szCs w:val="18"/>
                        </w:rPr>
                        <w:t>Advocaat Julie Goyvaerts</w:t>
                      </w:r>
                      <w:r w:rsidRPr="002449B9">
                        <w:rPr>
                          <w:color w:val="000000"/>
                          <w:sz w:val="18"/>
                          <w:szCs w:val="18"/>
                        </w:rPr>
                        <w:br/>
                        <w:t>Kasteelpleinstraat 79</w:t>
                      </w:r>
                      <w:r w:rsidRPr="002449B9">
                        <w:rPr>
                          <w:color w:val="000000"/>
                          <w:sz w:val="18"/>
                          <w:szCs w:val="18"/>
                        </w:rPr>
                        <w:br/>
                        <w:t>2000 Antwerpen</w:t>
                      </w:r>
                    </w:p>
                    <w:p w14:paraId="2E194641" w14:textId="77777777" w:rsidR="002449B9" w:rsidRPr="002449B9" w:rsidRDefault="002449B9" w:rsidP="00F438B5">
                      <w:pPr>
                        <w:pStyle w:val="NormalWeb"/>
                        <w:spacing w:before="0" w:beforeAutospacing="0"/>
                        <w:jc w:val="right"/>
                        <w:rPr>
                          <w:color w:val="000000"/>
                          <w:sz w:val="18"/>
                          <w:szCs w:val="18"/>
                        </w:rPr>
                      </w:pPr>
                      <w:r w:rsidRPr="002449B9">
                        <w:rPr>
                          <w:color w:val="000000"/>
                          <w:sz w:val="18"/>
                          <w:szCs w:val="18"/>
                        </w:rPr>
                        <w:t>Telefoon:</w:t>
                      </w:r>
                      <w:r w:rsidRPr="002449B9">
                        <w:rPr>
                          <w:rStyle w:val="apple-converted-space"/>
                          <w:rFonts w:eastAsiaTheme="majorEastAsia"/>
                          <w:color w:val="000000"/>
                          <w:sz w:val="18"/>
                          <w:szCs w:val="18"/>
                        </w:rPr>
                        <w:t> </w:t>
                      </w:r>
                      <w:hyperlink r:id="rId10" w:history="1">
                        <w:r w:rsidRPr="002449B9">
                          <w:rPr>
                            <w:rStyle w:val="Hyperlink"/>
                            <w:rFonts w:eastAsiaTheme="majorEastAsia"/>
                            <w:sz w:val="18"/>
                            <w:szCs w:val="18"/>
                          </w:rPr>
                          <w:t>+32 493 86 15 66</w:t>
                        </w:r>
                      </w:hyperlink>
                      <w:r w:rsidRPr="002449B9">
                        <w:rPr>
                          <w:color w:val="000000"/>
                          <w:sz w:val="18"/>
                          <w:szCs w:val="18"/>
                        </w:rPr>
                        <w:br/>
                        <w:t>E-mail:</w:t>
                      </w:r>
                      <w:r w:rsidRPr="002449B9">
                        <w:rPr>
                          <w:rStyle w:val="apple-converted-space"/>
                          <w:rFonts w:eastAsiaTheme="majorEastAsia"/>
                          <w:color w:val="000000"/>
                          <w:sz w:val="18"/>
                          <w:szCs w:val="18"/>
                        </w:rPr>
                        <w:t> </w:t>
                      </w:r>
                      <w:hyperlink r:id="rId11" w:history="1">
                        <w:r w:rsidRPr="002449B9">
                          <w:rPr>
                            <w:rStyle w:val="Hyperlink"/>
                            <w:rFonts w:eastAsiaTheme="majorEastAsia"/>
                            <w:sz w:val="18"/>
                            <w:szCs w:val="18"/>
                          </w:rPr>
                          <w:t>julie.goyvaerts@advocaat.be</w:t>
                        </w:r>
                      </w:hyperlink>
                    </w:p>
                    <w:p w14:paraId="1AA8FD96" w14:textId="77777777" w:rsidR="002449B9" w:rsidRPr="002449B9" w:rsidRDefault="002449B9" w:rsidP="00F438B5">
                      <w:pPr>
                        <w:pStyle w:val="NormalWeb"/>
                        <w:spacing w:before="0" w:beforeAutospacing="0"/>
                        <w:jc w:val="right"/>
                        <w:rPr>
                          <w:color w:val="000000"/>
                          <w:sz w:val="18"/>
                          <w:szCs w:val="18"/>
                        </w:rPr>
                      </w:pPr>
                      <w:r w:rsidRPr="002449B9">
                        <w:rPr>
                          <w:color w:val="000000"/>
                          <w:sz w:val="18"/>
                          <w:szCs w:val="18"/>
                        </w:rPr>
                        <w:t>KBO-nummer: BE0751.922.224</w:t>
                      </w:r>
                      <w:r w:rsidRPr="002449B9">
                        <w:rPr>
                          <w:color w:val="000000"/>
                          <w:sz w:val="18"/>
                          <w:szCs w:val="18"/>
                        </w:rPr>
                        <w:br/>
                        <w:t>Derdenrekening: BE85 6304 2321 5406</w:t>
                      </w:r>
                    </w:p>
                    <w:p w14:paraId="7F4C6EB3" w14:textId="77777777" w:rsidR="002449B9" w:rsidRPr="002449B9" w:rsidRDefault="002449B9" w:rsidP="00F438B5">
                      <w:pPr>
                        <w:jc w:val="right"/>
                        <w:rPr>
                          <w:sz w:val="16"/>
                          <w:szCs w:val="16"/>
                        </w:rPr>
                      </w:pPr>
                    </w:p>
                  </w:txbxContent>
                </v:textbox>
              </v:shape>
            </w:pict>
          </mc:Fallback>
        </mc:AlternateContent>
      </w:r>
      <w:r w:rsidR="0056340B" w:rsidRPr="0056340B">
        <w:t xml:space="preserve">         </w:t>
      </w:r>
    </w:p>
    <w:p w14:paraId="65A7EBD1" w14:textId="30D6F4BB" w:rsidR="0056340B" w:rsidRPr="0056340B" w:rsidRDefault="0056340B" w:rsidP="0056340B"/>
    <w:p w14:paraId="286CA1AD" w14:textId="11C1F945" w:rsidR="0056340B" w:rsidRPr="0056340B" w:rsidRDefault="0056340B" w:rsidP="0056340B"/>
    <w:p w14:paraId="47139C44" w14:textId="7A8B1C63" w:rsidR="0056340B" w:rsidRPr="002449B9" w:rsidRDefault="00C54AB4" w:rsidP="00F438B5">
      <w:pPr>
        <w:pStyle w:val="Title"/>
        <w:spacing w:before="3000"/>
        <w:rPr>
          <w:sz w:val="32"/>
          <w:szCs w:val="32"/>
        </w:rPr>
      </w:pPr>
      <w:r>
        <w:rPr>
          <w:sz w:val="32"/>
          <w:szCs w:val="32"/>
        </w:rPr>
        <w:t>ALGEMENE VOORWAARDEN</w:t>
      </w:r>
    </w:p>
    <w:p w14:paraId="4B4AF76F" w14:textId="77777777" w:rsidR="0056340B" w:rsidRDefault="0056340B" w:rsidP="0056340B">
      <w:pPr>
        <w:rPr>
          <w:b/>
          <w:bCs/>
        </w:rPr>
      </w:pPr>
    </w:p>
    <w:p w14:paraId="60E67C8B" w14:textId="690115BF" w:rsidR="00EC4009" w:rsidRPr="00EC4009" w:rsidRDefault="00EC4009" w:rsidP="00603265">
      <w:pPr>
        <w:pStyle w:val="Heading1"/>
      </w:pPr>
      <w:r w:rsidRPr="00EC4009">
        <w:t xml:space="preserve">1. </w:t>
      </w:r>
      <w:r w:rsidR="007223CD">
        <w:t>Definities</w:t>
      </w:r>
    </w:p>
    <w:p w14:paraId="2628BE86" w14:textId="77777777" w:rsidR="00EC4009" w:rsidRDefault="00EC4009" w:rsidP="00EC4009">
      <w:pPr>
        <w:jc w:val="left"/>
      </w:pPr>
    </w:p>
    <w:p w14:paraId="0BDEEC29" w14:textId="45997822" w:rsidR="00666795" w:rsidRDefault="00666795" w:rsidP="004557DE">
      <w:pPr>
        <w:jc w:val="left"/>
      </w:pPr>
      <w:r>
        <w:t xml:space="preserve">De Advocaat: mevrouw Julie Goyvaerts, advocaat Balie Antwerpen, met </w:t>
      </w:r>
      <w:r w:rsidR="00C168F3">
        <w:t>kantoor</w:t>
      </w:r>
      <w:r>
        <w:t>adres Kasteelpleinstraat 79, 2000 Antwerpen.</w:t>
      </w:r>
    </w:p>
    <w:p w14:paraId="378EAEF4" w14:textId="77777777" w:rsidR="00666795" w:rsidRDefault="00666795" w:rsidP="004557DE">
      <w:pPr>
        <w:jc w:val="left"/>
      </w:pPr>
    </w:p>
    <w:p w14:paraId="71C04D41" w14:textId="3F73F0B1" w:rsidR="004557DE" w:rsidRDefault="004557DE" w:rsidP="004557DE">
      <w:pPr>
        <w:jc w:val="left"/>
      </w:pPr>
      <w:r>
        <w:t xml:space="preserve">Het </w:t>
      </w:r>
      <w:r w:rsidR="000D1804">
        <w:t>Advocatenkantoor</w:t>
      </w:r>
      <w:r>
        <w:t xml:space="preserve">: </w:t>
      </w:r>
      <w:r w:rsidR="008823DA">
        <w:t>a</w:t>
      </w:r>
      <w:r w:rsidR="0019722F">
        <w:t>dvocaat Julie Goyvaerts</w:t>
      </w:r>
      <w:r w:rsidR="00FA6676">
        <w:t xml:space="preserve"> </w:t>
      </w:r>
      <w:r>
        <w:t xml:space="preserve">en eventuele medewerkers </w:t>
      </w:r>
      <w:r w:rsidR="00FA6676">
        <w:t>waarmee een overeenkomst werd afgesloten</w:t>
      </w:r>
      <w:r>
        <w:t>.</w:t>
      </w:r>
    </w:p>
    <w:p w14:paraId="7960A248" w14:textId="77777777" w:rsidR="004557DE" w:rsidRDefault="004557DE" w:rsidP="004557DE">
      <w:pPr>
        <w:jc w:val="left"/>
      </w:pPr>
    </w:p>
    <w:p w14:paraId="0B3EA51D" w14:textId="36F99087" w:rsidR="004557DE" w:rsidRDefault="004557DE" w:rsidP="004557DE">
      <w:pPr>
        <w:jc w:val="left"/>
      </w:pPr>
      <w:r>
        <w:t xml:space="preserve">De </w:t>
      </w:r>
      <w:r w:rsidR="003535B5">
        <w:t>C</w:t>
      </w:r>
      <w:r>
        <w:t xml:space="preserve">liënt: de natuurlijke persoon die gebruik maakt van de dienstverlening van </w:t>
      </w:r>
      <w:r w:rsidR="0019722F">
        <w:t>het Kantoor</w:t>
      </w:r>
      <w:r>
        <w:t xml:space="preserve"> of in het kader van de Salduzbijstand.</w:t>
      </w:r>
    </w:p>
    <w:p w14:paraId="7D50EDDF" w14:textId="77777777" w:rsidR="004557DE" w:rsidRDefault="004557DE" w:rsidP="004557DE">
      <w:pPr>
        <w:jc w:val="left"/>
      </w:pPr>
    </w:p>
    <w:p w14:paraId="1CA66955" w14:textId="66615576" w:rsidR="00EC4009" w:rsidRDefault="004557DE" w:rsidP="004557DE">
      <w:pPr>
        <w:jc w:val="left"/>
      </w:pPr>
      <w:r>
        <w:t xml:space="preserve">De </w:t>
      </w:r>
      <w:r w:rsidR="003535B5">
        <w:t>P</w:t>
      </w:r>
      <w:r>
        <w:t xml:space="preserve">artij(en): de </w:t>
      </w:r>
      <w:r w:rsidR="00666795">
        <w:t>A</w:t>
      </w:r>
      <w:r>
        <w:t xml:space="preserve">dvocaat, het </w:t>
      </w:r>
      <w:r w:rsidR="001C1819">
        <w:t xml:space="preserve">Advocatenkantoor </w:t>
      </w:r>
      <w:r>
        <w:t xml:space="preserve">of de </w:t>
      </w:r>
      <w:r w:rsidR="00666795">
        <w:t>C</w:t>
      </w:r>
      <w:r>
        <w:t>liënt.</w:t>
      </w:r>
    </w:p>
    <w:p w14:paraId="324FF58D" w14:textId="77777777" w:rsidR="00FA1965" w:rsidRPr="008D16E9" w:rsidRDefault="00FA1965" w:rsidP="00DC0427">
      <w:pPr>
        <w:jc w:val="left"/>
      </w:pPr>
    </w:p>
    <w:p w14:paraId="13079FA0" w14:textId="30C638B1" w:rsidR="00DC0427" w:rsidRPr="00EC4009" w:rsidRDefault="00E47E2E" w:rsidP="00603265">
      <w:pPr>
        <w:pStyle w:val="Heading1"/>
      </w:pPr>
      <w:r>
        <w:t>2</w:t>
      </w:r>
      <w:r w:rsidR="00DC0427" w:rsidRPr="00EC4009">
        <w:t xml:space="preserve">. </w:t>
      </w:r>
      <w:r w:rsidR="00DC0427">
        <w:t>Toepassing</w:t>
      </w:r>
    </w:p>
    <w:p w14:paraId="268386B5" w14:textId="77777777" w:rsidR="00DC0427" w:rsidRDefault="00DC0427" w:rsidP="00DC0427">
      <w:pPr>
        <w:jc w:val="left"/>
      </w:pPr>
    </w:p>
    <w:p w14:paraId="1ED38F78" w14:textId="50DC6D76" w:rsidR="00DC0427" w:rsidRDefault="00DC0427" w:rsidP="00DC0427">
      <w:pPr>
        <w:jc w:val="left"/>
      </w:pPr>
      <w:r>
        <w:t xml:space="preserve">Deze algemene voorwaarden zijn van toepassing op alle door </w:t>
      </w:r>
      <w:r w:rsidR="00892EF4">
        <w:t xml:space="preserve">het </w:t>
      </w:r>
      <w:r w:rsidR="001C1819">
        <w:t xml:space="preserve">Advocatenkantoor </w:t>
      </w:r>
      <w:r>
        <w:t>uitgevoerde diensten en opdrachten.</w:t>
      </w:r>
      <w:r w:rsidR="00B1752B" w:rsidRPr="00B1752B">
        <w:t xml:space="preserve"> </w:t>
      </w:r>
      <w:r w:rsidR="00B1752B">
        <w:t>De algemene voorwaarden zijn ook van toepassing op de onlinedienstverlening in zoverre de specifieke voorwaarden inzake de onlinedienstverlening er niet van afwijken.</w:t>
      </w:r>
    </w:p>
    <w:p w14:paraId="3533AD89" w14:textId="77777777" w:rsidR="00DC0427" w:rsidRDefault="00DC0427" w:rsidP="00DC0427">
      <w:pPr>
        <w:jc w:val="left"/>
      </w:pPr>
    </w:p>
    <w:p w14:paraId="347187A8" w14:textId="3945A0C8" w:rsidR="00DC0427" w:rsidRDefault="00DC0427" w:rsidP="00EC4009">
      <w:pPr>
        <w:jc w:val="left"/>
      </w:pPr>
      <w:r>
        <w:t xml:space="preserve">Wanneer een cliënt beroep doet op de diensten van </w:t>
      </w:r>
      <w:r w:rsidR="00062723">
        <w:t xml:space="preserve">het </w:t>
      </w:r>
      <w:r w:rsidR="007E1623">
        <w:t>Advocatenkantoor</w:t>
      </w:r>
      <w:r>
        <w:t>, wordt de cliënt geacht deze voorwaarden te hebben gelezen, begrepen en aanvaard.</w:t>
      </w:r>
    </w:p>
    <w:p w14:paraId="3CADCADE" w14:textId="77777777" w:rsidR="005C7105" w:rsidRDefault="005C7105" w:rsidP="00EC4009">
      <w:pPr>
        <w:jc w:val="left"/>
      </w:pPr>
    </w:p>
    <w:p w14:paraId="5DE5DCF2" w14:textId="1CC74E80" w:rsidR="00EC4009" w:rsidRPr="00342DB3" w:rsidRDefault="008942C4" w:rsidP="00603265">
      <w:pPr>
        <w:pStyle w:val="Heading1"/>
      </w:pPr>
      <w:r>
        <w:t>3</w:t>
      </w:r>
      <w:r w:rsidR="00EC4009" w:rsidRPr="00342DB3">
        <w:t>. Het mandaat</w:t>
      </w:r>
    </w:p>
    <w:p w14:paraId="6F7E03AE" w14:textId="77777777" w:rsidR="00EC4009" w:rsidRDefault="00EC4009" w:rsidP="00EC4009">
      <w:pPr>
        <w:jc w:val="left"/>
      </w:pPr>
    </w:p>
    <w:p w14:paraId="565A0748" w14:textId="2DADE68E" w:rsidR="00EC4009" w:rsidRDefault="00EC4009" w:rsidP="00EC4009">
      <w:pPr>
        <w:jc w:val="left"/>
      </w:pPr>
      <w:r>
        <w:t xml:space="preserve">Het mandaat van Advocaat Julie Goyvaerts </w:t>
      </w:r>
      <w:r w:rsidR="003A29D3">
        <w:t>komt</w:t>
      </w:r>
      <w:r>
        <w:t xml:space="preserve"> tot stand wanneer een opdracht duidelijk schriftelijk werd bevestigd en aanvaard door </w:t>
      </w:r>
      <w:r w:rsidR="0004041F">
        <w:t xml:space="preserve">het </w:t>
      </w:r>
      <w:r w:rsidR="00047A3E">
        <w:t>Advocatenkantoor</w:t>
      </w:r>
      <w:r>
        <w:t>.</w:t>
      </w:r>
    </w:p>
    <w:p w14:paraId="10EC7CDA" w14:textId="77777777" w:rsidR="00EC4009" w:rsidRDefault="00EC4009" w:rsidP="00EC4009">
      <w:pPr>
        <w:jc w:val="left"/>
      </w:pPr>
    </w:p>
    <w:p w14:paraId="3A846A3B" w14:textId="04EC3467" w:rsidR="006A4A4E" w:rsidRDefault="00EC4009" w:rsidP="00EC4009">
      <w:pPr>
        <w:jc w:val="left"/>
      </w:pPr>
      <w:r>
        <w:t>Het louter inwinnen van informatie, dan wel het stellen van enige vraag of vraag tot opdracht, brengt geen samenwerking teweeg.</w:t>
      </w:r>
    </w:p>
    <w:p w14:paraId="35DB4EFD" w14:textId="77777777" w:rsidR="00246B50" w:rsidRDefault="00246B50" w:rsidP="00246B50">
      <w:pPr>
        <w:jc w:val="left"/>
      </w:pPr>
    </w:p>
    <w:p w14:paraId="39721986" w14:textId="13535031" w:rsidR="00246B50" w:rsidRDefault="00971654" w:rsidP="008516A8">
      <w:pPr>
        <w:pStyle w:val="Heading1"/>
      </w:pPr>
      <w:r w:rsidRPr="00971654">
        <w:lastRenderedPageBreak/>
        <w:t>4.</w:t>
      </w:r>
      <w:r w:rsidR="00246B50" w:rsidRPr="00971654">
        <w:t xml:space="preserve"> Kosten en ereloon</w:t>
      </w:r>
    </w:p>
    <w:p w14:paraId="320B2E7F" w14:textId="77777777" w:rsidR="00971654" w:rsidRDefault="00971654" w:rsidP="0011184D">
      <w:pPr>
        <w:jc w:val="both"/>
      </w:pPr>
    </w:p>
    <w:p w14:paraId="0AD316C6" w14:textId="5F1D4E58" w:rsidR="000A7E94" w:rsidRDefault="000A7E94" w:rsidP="0011184D">
      <w:pPr>
        <w:jc w:val="both"/>
      </w:pPr>
      <w:r>
        <w:t>Bij aanvang van het dossier worden duidelijke afspraken gemaakt over het ereloon en de kosten, alsook de betalingsmodaliteiten, tussen Advocaat Julie Goyvaerts en de cliënt.</w:t>
      </w:r>
    </w:p>
    <w:p w14:paraId="55278781" w14:textId="77777777" w:rsidR="000A7E94" w:rsidRPr="00971654" w:rsidRDefault="000A7E94" w:rsidP="0011184D">
      <w:pPr>
        <w:jc w:val="both"/>
      </w:pPr>
    </w:p>
    <w:p w14:paraId="24E0250B" w14:textId="64FCAAC0" w:rsidR="002B5EFB" w:rsidRDefault="00246B50" w:rsidP="00246B50">
      <w:pPr>
        <w:jc w:val="left"/>
      </w:pPr>
      <w:r>
        <w:t xml:space="preserve">De staat van kosten en erelonen van </w:t>
      </w:r>
      <w:r w:rsidR="00EC4AF6">
        <w:t xml:space="preserve">het </w:t>
      </w:r>
      <w:r w:rsidR="000D1804">
        <w:t>Advocatenk</w:t>
      </w:r>
      <w:r w:rsidR="00EC4AF6">
        <w:t xml:space="preserve">antoor </w:t>
      </w:r>
      <w:r>
        <w:t>kan drie elementen bevatten: de kosten van het advocatenkantoor, de gerechtskosten en de uitgaven en het ereloon.</w:t>
      </w:r>
    </w:p>
    <w:p w14:paraId="1C186747" w14:textId="77777777" w:rsidR="002B5EFB" w:rsidRDefault="002B5EFB" w:rsidP="00246B50">
      <w:pPr>
        <w:jc w:val="left"/>
      </w:pPr>
    </w:p>
    <w:p w14:paraId="48E0CBBE" w14:textId="0F64A897" w:rsidR="00246B50" w:rsidRDefault="00246B50" w:rsidP="00246B50">
      <w:pPr>
        <w:jc w:val="left"/>
      </w:pPr>
      <w:r>
        <w:t xml:space="preserve">De kosten van </w:t>
      </w:r>
      <w:r w:rsidR="00CC7097">
        <w:t xml:space="preserve">het Advocatenkantoor </w:t>
      </w:r>
      <w:r>
        <w:t>worden als volgt berekend: dossieropening éénmalig:</w:t>
      </w:r>
    </w:p>
    <w:p w14:paraId="72F50E57" w14:textId="77777777" w:rsidR="00246B50" w:rsidRDefault="00246B50" w:rsidP="00246B50">
      <w:pPr>
        <w:jc w:val="left"/>
      </w:pPr>
      <w:r>
        <w:t>brief, inclusief e-mail, fax:</w:t>
      </w:r>
    </w:p>
    <w:p w14:paraId="0994FBB8" w14:textId="77777777" w:rsidR="000103BF" w:rsidRDefault="000103BF" w:rsidP="00246B50">
      <w:pPr>
        <w:jc w:val="lef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25"/>
        <w:gridCol w:w="1791"/>
      </w:tblGrid>
      <w:tr w:rsidR="000103BF" w14:paraId="7F7D9FD5" w14:textId="77777777" w:rsidTr="00B15730">
        <w:tc>
          <w:tcPr>
            <w:tcW w:w="7225" w:type="dxa"/>
          </w:tcPr>
          <w:p w14:paraId="4760D9A5" w14:textId="169DC183" w:rsidR="000103BF" w:rsidRDefault="000103BF" w:rsidP="00E83A0C">
            <w:pPr>
              <w:jc w:val="left"/>
            </w:pPr>
            <w:r>
              <w:t>dossieropening</w:t>
            </w:r>
          </w:p>
        </w:tc>
        <w:tc>
          <w:tcPr>
            <w:tcW w:w="1791" w:type="dxa"/>
          </w:tcPr>
          <w:p w14:paraId="698A737E" w14:textId="571AFB3D" w:rsidR="000103BF" w:rsidRDefault="000103BF" w:rsidP="00E83A0C">
            <w:pPr>
              <w:jc w:val="left"/>
            </w:pPr>
            <w:r>
              <w:t>€75,00</w:t>
            </w:r>
          </w:p>
        </w:tc>
      </w:tr>
      <w:tr w:rsidR="000103BF" w14:paraId="6B549FBE" w14:textId="77777777" w:rsidTr="00B15730">
        <w:tc>
          <w:tcPr>
            <w:tcW w:w="7225" w:type="dxa"/>
          </w:tcPr>
          <w:p w14:paraId="1169A046" w14:textId="687DBE1C" w:rsidR="000103BF" w:rsidRDefault="000103BF" w:rsidP="00E83A0C">
            <w:pPr>
              <w:jc w:val="left"/>
            </w:pPr>
            <w:r>
              <w:t>brief, inclusief e-mail, fax</w:t>
            </w:r>
          </w:p>
        </w:tc>
        <w:tc>
          <w:tcPr>
            <w:tcW w:w="1791" w:type="dxa"/>
          </w:tcPr>
          <w:p w14:paraId="1C365481" w14:textId="49183C8F" w:rsidR="000103BF" w:rsidRDefault="000103BF" w:rsidP="00E83A0C">
            <w:pPr>
              <w:jc w:val="left"/>
            </w:pPr>
            <w:r>
              <w:t>€12,50</w:t>
            </w:r>
          </w:p>
        </w:tc>
      </w:tr>
      <w:tr w:rsidR="000103BF" w14:paraId="1264F5B1" w14:textId="77777777" w:rsidTr="00B15730">
        <w:tc>
          <w:tcPr>
            <w:tcW w:w="7225" w:type="dxa"/>
          </w:tcPr>
          <w:p w14:paraId="288135C9" w14:textId="38D1A7E6" w:rsidR="000103BF" w:rsidRDefault="000103BF" w:rsidP="00E83A0C">
            <w:pPr>
              <w:jc w:val="left"/>
            </w:pPr>
            <w:r>
              <w:t>kopie, afdruk (e-mail, in-en uitgaande faxen)</w:t>
            </w:r>
          </w:p>
        </w:tc>
        <w:tc>
          <w:tcPr>
            <w:tcW w:w="1791" w:type="dxa"/>
          </w:tcPr>
          <w:p w14:paraId="7FF919EF" w14:textId="51BED876" w:rsidR="000103BF" w:rsidRDefault="000103BF" w:rsidP="00E83A0C">
            <w:pPr>
              <w:jc w:val="left"/>
            </w:pPr>
            <w:r>
              <w:t>€0,35</w:t>
            </w:r>
          </w:p>
        </w:tc>
      </w:tr>
      <w:tr w:rsidR="000103BF" w14:paraId="22EDAC1E" w14:textId="77777777" w:rsidTr="00B15730">
        <w:tc>
          <w:tcPr>
            <w:tcW w:w="7225" w:type="dxa"/>
          </w:tcPr>
          <w:p w14:paraId="46323130" w14:textId="6C0F8533" w:rsidR="000103BF" w:rsidRDefault="000103BF" w:rsidP="00E83A0C">
            <w:pPr>
              <w:jc w:val="left"/>
            </w:pPr>
            <w:r>
              <w:t>verplaatsingskosten per km</w:t>
            </w:r>
          </w:p>
        </w:tc>
        <w:tc>
          <w:tcPr>
            <w:tcW w:w="1791" w:type="dxa"/>
          </w:tcPr>
          <w:p w14:paraId="0E95C686" w14:textId="6FAD3813" w:rsidR="000103BF" w:rsidRDefault="000103BF" w:rsidP="00E83A0C">
            <w:pPr>
              <w:jc w:val="left"/>
            </w:pPr>
            <w:r>
              <w:t>€0,85</w:t>
            </w:r>
          </w:p>
        </w:tc>
      </w:tr>
      <w:tr w:rsidR="000103BF" w14:paraId="4465EE7C" w14:textId="77777777" w:rsidTr="00B15730">
        <w:tc>
          <w:tcPr>
            <w:tcW w:w="7225" w:type="dxa"/>
          </w:tcPr>
          <w:p w14:paraId="177BCD60" w14:textId="31298A9D" w:rsidR="000103BF" w:rsidRDefault="000103BF" w:rsidP="00E83A0C">
            <w:pPr>
              <w:jc w:val="left"/>
            </w:pPr>
            <w:r>
              <w:t>boekhoudkundige verwerking</w:t>
            </w:r>
          </w:p>
        </w:tc>
        <w:tc>
          <w:tcPr>
            <w:tcW w:w="1791" w:type="dxa"/>
          </w:tcPr>
          <w:p w14:paraId="03829A4B" w14:textId="7A7387B8" w:rsidR="000103BF" w:rsidRDefault="000103BF" w:rsidP="00E83A0C">
            <w:pPr>
              <w:jc w:val="left"/>
            </w:pPr>
            <w:r>
              <w:t>€12,50</w:t>
            </w:r>
          </w:p>
        </w:tc>
      </w:tr>
      <w:tr w:rsidR="000103BF" w14:paraId="7BA3BE95" w14:textId="77777777" w:rsidTr="00B15730">
        <w:tc>
          <w:tcPr>
            <w:tcW w:w="7225" w:type="dxa"/>
          </w:tcPr>
          <w:p w14:paraId="5593610C" w14:textId="034D4441" w:rsidR="000103BF" w:rsidRDefault="000103BF" w:rsidP="00E83A0C">
            <w:pPr>
              <w:jc w:val="left"/>
            </w:pPr>
            <w:r>
              <w:t>telefoonkosten binnenland (per 10 minuten)</w:t>
            </w:r>
          </w:p>
        </w:tc>
        <w:tc>
          <w:tcPr>
            <w:tcW w:w="1791" w:type="dxa"/>
          </w:tcPr>
          <w:p w14:paraId="11FEEBAB" w14:textId="67215755" w:rsidR="000103BF" w:rsidRDefault="000103BF" w:rsidP="00E83A0C">
            <w:pPr>
              <w:jc w:val="left"/>
            </w:pPr>
            <w:r>
              <w:t>€0,10</w:t>
            </w:r>
          </w:p>
        </w:tc>
      </w:tr>
      <w:tr w:rsidR="000103BF" w14:paraId="0E96D9D4" w14:textId="77777777" w:rsidTr="00B15730">
        <w:tc>
          <w:tcPr>
            <w:tcW w:w="7225" w:type="dxa"/>
          </w:tcPr>
          <w:p w14:paraId="13BA20C7" w14:textId="29DE21B6" w:rsidR="000103BF" w:rsidRDefault="000103BF" w:rsidP="00E83A0C">
            <w:pPr>
              <w:jc w:val="left"/>
            </w:pPr>
            <w:r>
              <w:t>telefoonkosten buitenland (per 10 minuten)</w:t>
            </w:r>
          </w:p>
        </w:tc>
        <w:tc>
          <w:tcPr>
            <w:tcW w:w="1791" w:type="dxa"/>
          </w:tcPr>
          <w:p w14:paraId="66881B94" w14:textId="05204F8B" w:rsidR="000103BF" w:rsidRDefault="000103BF" w:rsidP="00E83A0C">
            <w:pPr>
              <w:jc w:val="left"/>
            </w:pPr>
            <w:r>
              <w:t>€0,50</w:t>
            </w:r>
          </w:p>
        </w:tc>
      </w:tr>
      <w:tr w:rsidR="000103BF" w14:paraId="21D8DBBD" w14:textId="77777777" w:rsidTr="00B15730">
        <w:tc>
          <w:tcPr>
            <w:tcW w:w="7225" w:type="dxa"/>
          </w:tcPr>
          <w:p w14:paraId="7976898E" w14:textId="5032EAC2" w:rsidR="000103BF" w:rsidRDefault="000103BF" w:rsidP="00E83A0C">
            <w:pPr>
              <w:jc w:val="left"/>
            </w:pPr>
            <w:r>
              <w:t>aangetekende zending</w:t>
            </w:r>
          </w:p>
        </w:tc>
        <w:tc>
          <w:tcPr>
            <w:tcW w:w="1791" w:type="dxa"/>
          </w:tcPr>
          <w:p w14:paraId="5387F543" w14:textId="57C6A611" w:rsidR="000103BF" w:rsidRDefault="000103BF" w:rsidP="00E83A0C">
            <w:pPr>
              <w:jc w:val="left"/>
            </w:pPr>
            <w:r>
              <w:t>posttarief</w:t>
            </w:r>
          </w:p>
        </w:tc>
      </w:tr>
    </w:tbl>
    <w:p w14:paraId="3C1BB450" w14:textId="77777777" w:rsidR="000103BF" w:rsidRDefault="000103BF" w:rsidP="00246B50">
      <w:pPr>
        <w:jc w:val="left"/>
      </w:pPr>
    </w:p>
    <w:p w14:paraId="468F2DD2" w14:textId="77777777" w:rsidR="00B15730" w:rsidRDefault="000103BF" w:rsidP="00246B50">
      <w:pPr>
        <w:jc w:val="left"/>
      </w:pPr>
      <w:r>
        <w:t>Deze bedragen worden verhoogd met 21% btw.</w:t>
      </w:r>
    </w:p>
    <w:p w14:paraId="3E706657" w14:textId="77777777" w:rsidR="00B15730" w:rsidRDefault="00B15730" w:rsidP="00246B50">
      <w:pPr>
        <w:jc w:val="left"/>
      </w:pPr>
    </w:p>
    <w:p w14:paraId="095AB6D0" w14:textId="290B8D86" w:rsidR="00246B50" w:rsidRDefault="00246B50" w:rsidP="00246B50">
      <w:pPr>
        <w:jc w:val="left"/>
      </w:pPr>
      <w:r>
        <w:t xml:space="preserve">De gerechtskosten en de uitgaven zijn de kosten die </w:t>
      </w:r>
      <w:r w:rsidR="00070853">
        <w:t xml:space="preserve">het Advocatenkantoor </w:t>
      </w:r>
      <w:r>
        <w:t>heeft moeten voorschieten aan derden, zoals de gerechtsdeurwaarder, de griffie, vertalers, openbare instanties, enz</w:t>
      </w:r>
      <w:r w:rsidR="00070853">
        <w:t>ovoort</w:t>
      </w:r>
      <w:r>
        <w:t>. Deze kosten worden precies en gedetailleerd vermeld in de staat van kosten en ereloon.</w:t>
      </w:r>
    </w:p>
    <w:p w14:paraId="4A62AFD9" w14:textId="77777777" w:rsidR="00070853" w:rsidRDefault="00070853" w:rsidP="00246B50">
      <w:pPr>
        <w:jc w:val="left"/>
      </w:pPr>
    </w:p>
    <w:p w14:paraId="7823EDF9" w14:textId="3E97A615" w:rsidR="00246B50" w:rsidRDefault="00246B50" w:rsidP="00246B50">
      <w:pPr>
        <w:jc w:val="left"/>
      </w:pPr>
      <w:r>
        <w:t xml:space="preserve">Het ereloon is de vergoeding voor de door </w:t>
      </w:r>
      <w:r w:rsidR="000D1CF1">
        <w:t xml:space="preserve">het Advocatenkantoor </w:t>
      </w:r>
      <w:r>
        <w:t>geleverde diensten. Het ereloon kan op 2 wijzen begroot worden:</w:t>
      </w:r>
    </w:p>
    <w:p w14:paraId="560B167D" w14:textId="77777777" w:rsidR="00291322" w:rsidRDefault="00291322" w:rsidP="00246B50">
      <w:pPr>
        <w:jc w:val="left"/>
      </w:pPr>
    </w:p>
    <w:p w14:paraId="4BAFB499" w14:textId="1BF02485" w:rsidR="001E6EC4" w:rsidRDefault="003329FC" w:rsidP="00855CAA">
      <w:pPr>
        <w:pStyle w:val="ListParagraph"/>
        <w:numPr>
          <w:ilvl w:val="0"/>
          <w:numId w:val="1"/>
        </w:numPr>
        <w:spacing w:after="120"/>
        <w:ind w:left="1077" w:hanging="357"/>
        <w:jc w:val="left"/>
      </w:pPr>
      <w:r>
        <w:rPr>
          <w:u w:val="single"/>
        </w:rPr>
        <w:t>H</w:t>
      </w:r>
      <w:r w:rsidR="005509AA" w:rsidRPr="003329FC">
        <w:rPr>
          <w:u w:val="single"/>
        </w:rPr>
        <w:t>et waardetarief</w:t>
      </w:r>
      <w:r w:rsidR="001E6EC4">
        <w:t xml:space="preserve">: </w:t>
      </w:r>
      <w:r>
        <w:t>H</w:t>
      </w:r>
      <w:r w:rsidR="001E6EC4">
        <w:t>et ereloon wordt berekend op het gevorderde bedrag:</w:t>
      </w:r>
    </w:p>
    <w:p w14:paraId="49B855AA" w14:textId="1C92ADDE" w:rsidR="001E6EC4" w:rsidRDefault="001E6EC4" w:rsidP="00855CAA">
      <w:pPr>
        <w:spacing w:before="40" w:after="40"/>
        <w:ind w:left="1077" w:firstLine="357"/>
        <w:jc w:val="left"/>
      </w:pPr>
      <w:r>
        <w:t xml:space="preserve">€0 </w:t>
      </w:r>
      <w:r w:rsidR="00604615">
        <w:t>–</w:t>
      </w:r>
      <w:r>
        <w:t xml:space="preserve"> €6.200: 35%</w:t>
      </w:r>
    </w:p>
    <w:p w14:paraId="3D6A8E0B" w14:textId="4D09030C" w:rsidR="001E6EC4" w:rsidRDefault="001E6EC4" w:rsidP="00855CAA">
      <w:pPr>
        <w:spacing w:before="40" w:after="40"/>
        <w:ind w:left="1077" w:firstLine="357"/>
        <w:jc w:val="left"/>
      </w:pPr>
      <w:r>
        <w:t xml:space="preserve">€6.200 </w:t>
      </w:r>
      <w:r w:rsidR="00604615">
        <w:t>–</w:t>
      </w:r>
      <w:r>
        <w:t xml:space="preserve"> €49.600: 25%</w:t>
      </w:r>
    </w:p>
    <w:p w14:paraId="4760E316" w14:textId="7FB37866" w:rsidR="001E6EC4" w:rsidRDefault="001E6EC4" w:rsidP="00855CAA">
      <w:pPr>
        <w:spacing w:before="40" w:after="40"/>
        <w:ind w:left="1077" w:firstLine="357"/>
        <w:jc w:val="left"/>
      </w:pPr>
      <w:r>
        <w:t xml:space="preserve">€49.600 </w:t>
      </w:r>
      <w:r w:rsidR="00604615">
        <w:t>–</w:t>
      </w:r>
      <w:r>
        <w:t xml:space="preserve"> €124.000: 15%</w:t>
      </w:r>
    </w:p>
    <w:p w14:paraId="01BF3DE6" w14:textId="715B823D" w:rsidR="001E6EC4" w:rsidRDefault="001E6EC4" w:rsidP="00855CAA">
      <w:pPr>
        <w:spacing w:before="40" w:after="40"/>
        <w:ind w:left="1077" w:firstLine="357"/>
        <w:jc w:val="left"/>
      </w:pPr>
      <w:r>
        <w:t xml:space="preserve">€124.000 </w:t>
      </w:r>
      <w:r w:rsidR="00604615">
        <w:t>–</w:t>
      </w:r>
      <w:r>
        <w:t xml:space="preserve"> €250.000: 6%</w:t>
      </w:r>
    </w:p>
    <w:p w14:paraId="29B41F36" w14:textId="21C9B89B" w:rsidR="00CD18D0" w:rsidRDefault="0009773E" w:rsidP="00855CAA">
      <w:pPr>
        <w:spacing w:before="40" w:after="40"/>
        <w:ind w:left="1077" w:firstLine="357"/>
        <w:jc w:val="left"/>
      </w:pPr>
      <w:r>
        <w:t>meer dan</w:t>
      </w:r>
      <w:r w:rsidR="001E6EC4">
        <w:t xml:space="preserve"> €250.000: 5%</w:t>
      </w:r>
    </w:p>
    <w:p w14:paraId="632373F9" w14:textId="77777777" w:rsidR="00CD18D0" w:rsidRDefault="00CD18D0" w:rsidP="005509AA">
      <w:pPr>
        <w:jc w:val="left"/>
      </w:pPr>
    </w:p>
    <w:p w14:paraId="00FA4146" w14:textId="640B7405" w:rsidR="003D3C93" w:rsidRDefault="003329FC" w:rsidP="005A5056">
      <w:pPr>
        <w:pStyle w:val="ListParagraph"/>
        <w:numPr>
          <w:ilvl w:val="0"/>
          <w:numId w:val="1"/>
        </w:numPr>
        <w:spacing w:after="120"/>
        <w:ind w:left="1077" w:hanging="357"/>
        <w:contextualSpacing w:val="0"/>
        <w:jc w:val="left"/>
      </w:pPr>
      <w:r>
        <w:rPr>
          <w:u w:val="single"/>
        </w:rPr>
        <w:t>K</w:t>
      </w:r>
      <w:r w:rsidR="005509AA" w:rsidRPr="003329FC">
        <w:rPr>
          <w:u w:val="single"/>
        </w:rPr>
        <w:t>euze uit uurtarief of vaste prijs</w:t>
      </w:r>
      <w:r>
        <w:t>: T</w:t>
      </w:r>
      <w:r w:rsidRPr="003329FC">
        <w:t xml:space="preserve">enzij uitdrukkelijk anders schriftelijk afgesproken (zoals hierboven vermeld) werkt </w:t>
      </w:r>
      <w:r w:rsidR="00CA5090">
        <w:t>Advocaat Julie Goyvaerts</w:t>
      </w:r>
      <w:r w:rsidRPr="003329FC">
        <w:t xml:space="preserve"> aan een vast uurloon. Dit vast uurloon wordt vastgelegd in overleg met de cliënt en is afhankelijk van externe factoren zoals het spoedeisend karakter, het belang van de zaak, de complexiteit bepaald als volgt</w:t>
      </w:r>
      <w:r w:rsidR="00053699">
        <w:t xml:space="preserve"> (aankruisen wat van toepassing is)</w:t>
      </w:r>
      <w:r w:rsidRPr="003329FC">
        <w:t>:</w:t>
      </w:r>
    </w:p>
    <w:p w14:paraId="3958C07C" w14:textId="6E5BD03E" w:rsidR="003D3C93" w:rsidRDefault="00246B50" w:rsidP="005A5056">
      <w:pPr>
        <w:pStyle w:val="ListParagraph"/>
        <w:spacing w:before="40" w:after="40"/>
        <w:ind w:left="1080" w:firstLine="360"/>
        <w:contextualSpacing w:val="0"/>
        <w:jc w:val="left"/>
      </w:pPr>
      <w:r>
        <w:t>1°</w:t>
      </w:r>
      <w:r w:rsidR="003D3C93">
        <w:t xml:space="preserve"> </w:t>
      </w:r>
      <w:r w:rsidR="00AE5C08">
        <w:t>U</w:t>
      </w:r>
      <w:r>
        <w:t xml:space="preserve">urtarief </w:t>
      </w:r>
      <w:r w:rsidR="003D3C93">
        <w:t>Advocaat Julie Goyvaerts</w:t>
      </w:r>
      <w:r>
        <w:t xml:space="preserve">: </w:t>
      </w:r>
      <w:r w:rsidR="005A5056">
        <w:t>€</w:t>
      </w:r>
      <w:r>
        <w:t>150</w:t>
      </w:r>
      <w:r w:rsidR="005A5056">
        <w:t>/</w:t>
      </w:r>
      <w:r>
        <w:t>uur (</w:t>
      </w:r>
      <w:r w:rsidR="003D3C93">
        <w:t>afwijking mogelijk</w:t>
      </w:r>
      <w:r>
        <w:t>)</w:t>
      </w:r>
    </w:p>
    <w:p w14:paraId="3B94FB9C" w14:textId="77777777" w:rsidR="00053699" w:rsidRDefault="00246B50" w:rsidP="00053699">
      <w:pPr>
        <w:pStyle w:val="ListParagraph"/>
        <w:spacing w:before="40" w:after="40"/>
        <w:ind w:left="1080" w:firstLine="360"/>
        <w:contextualSpacing w:val="0"/>
        <w:jc w:val="left"/>
      </w:pPr>
      <w:r>
        <w:t>2°</w:t>
      </w:r>
      <w:r w:rsidR="00AE5C08">
        <w:t xml:space="preserve"> </w:t>
      </w:r>
      <w:r>
        <w:t xml:space="preserve">Indien afwijkend uurtarief werd overeengekomen, bedraagt deze </w:t>
      </w:r>
      <w:r w:rsidR="007E6A25">
        <w:t>€……</w:t>
      </w:r>
      <w:r>
        <w:t>/uur</w:t>
      </w:r>
    </w:p>
    <w:p w14:paraId="157A3143" w14:textId="77777777" w:rsidR="00E83A0C" w:rsidRDefault="00246B50" w:rsidP="00E83A0C">
      <w:pPr>
        <w:pStyle w:val="ListParagraph"/>
        <w:spacing w:before="40" w:after="40"/>
        <w:ind w:left="1440"/>
        <w:contextualSpacing w:val="0"/>
        <w:jc w:val="left"/>
      </w:pPr>
      <w:r>
        <w:t>3°</w:t>
      </w:r>
      <w:r w:rsidR="005A5056">
        <w:t xml:space="preserve"> </w:t>
      </w:r>
      <w:r>
        <w:t xml:space="preserve">Het ereloon kan </w:t>
      </w:r>
      <w:r w:rsidR="00053699">
        <w:t>afwijken</w:t>
      </w:r>
      <w:r>
        <w:t xml:space="preserve"> van het standaardtarief aan een voora</w:t>
      </w:r>
      <w:r w:rsidR="00E83A0C">
        <w:t xml:space="preserve">f        </w:t>
      </w:r>
    </w:p>
    <w:p w14:paraId="7542A3CA" w14:textId="026FC8E2" w:rsidR="00E83A0C" w:rsidRDefault="00246B50" w:rsidP="00E83A0C">
      <w:pPr>
        <w:pStyle w:val="ListParagraph"/>
        <w:spacing w:before="40" w:after="40"/>
        <w:ind w:left="1440"/>
        <w:contextualSpacing w:val="0"/>
        <w:jc w:val="left"/>
      </w:pPr>
      <w:r>
        <w:t xml:space="preserve">afgesproken en vastgelegd tarief: van </w:t>
      </w:r>
      <w:r w:rsidR="00053699">
        <w:t xml:space="preserve">€……, </w:t>
      </w:r>
      <w:r>
        <w:t>exclusief gerechts-</w:t>
      </w:r>
    </w:p>
    <w:p w14:paraId="737B6796" w14:textId="5B34C9BD" w:rsidR="00CA5090" w:rsidRDefault="00246B50" w:rsidP="000D2076">
      <w:pPr>
        <w:spacing w:before="40" w:after="40"/>
        <w:ind w:left="720" w:firstLine="720"/>
        <w:jc w:val="left"/>
      </w:pPr>
      <w:r>
        <w:t>en deurwaarderskosten</w:t>
      </w:r>
      <w:r w:rsidR="00053699">
        <w:t>.</w:t>
      </w:r>
    </w:p>
    <w:p w14:paraId="4904C74E" w14:textId="77777777" w:rsidR="00DC28E5" w:rsidRDefault="00DC28E5" w:rsidP="00DC28E5">
      <w:pPr>
        <w:spacing w:before="40" w:after="40"/>
        <w:jc w:val="left"/>
      </w:pPr>
    </w:p>
    <w:p w14:paraId="09A6141C" w14:textId="4FBEB530" w:rsidR="00246B50" w:rsidRDefault="00246B50" w:rsidP="00246B50">
      <w:pPr>
        <w:jc w:val="left"/>
      </w:pPr>
      <w:r>
        <w:lastRenderedPageBreak/>
        <w:t>In bepaalde omstandigheden, onder meer bij hoogdringendheid, ingewikkeldheid van de materie of de procedure, kan een hoger ereloon van €175</w:t>
      </w:r>
      <w:r w:rsidR="00747934">
        <w:t>/</w:t>
      </w:r>
      <w:r>
        <w:t>uur exclusief btw worden aangerekend, steeds na voorafgaandelijk overleg met de cliënt. Vaak is het moeilijk om bij aanvang een nauwkeurige schatting van de kosten te geven. Hoe een zaak precies zal verlopen, hangt af van verschillende factoren. Het kan dus gebeuren dat de behandelende advocaat meer tijd nodig heeft dan zij of hij eerst had gedacht.</w:t>
      </w:r>
    </w:p>
    <w:p w14:paraId="273EF7A6" w14:textId="77777777" w:rsidR="00CA5090" w:rsidRDefault="00CA5090" w:rsidP="00246B50">
      <w:pPr>
        <w:jc w:val="left"/>
      </w:pPr>
    </w:p>
    <w:p w14:paraId="03B0BF65" w14:textId="0CC54F09" w:rsidR="00D23EFE" w:rsidRDefault="00954A49" w:rsidP="00D23EFE">
      <w:pPr>
        <w:spacing w:before="40" w:after="40"/>
        <w:jc w:val="left"/>
      </w:pPr>
      <w:r>
        <w:t xml:space="preserve">Het </w:t>
      </w:r>
      <w:r w:rsidR="00FB39B0">
        <w:t>Advocatenkantoor</w:t>
      </w:r>
      <w:r w:rsidR="00246B50">
        <w:t xml:space="preserve"> houdt haar cliënteel op regelmatige tijdstippen op de hoogte van de evolutie in het dossier. </w:t>
      </w:r>
      <w:r w:rsidR="000327A9">
        <w:t>Ze</w:t>
      </w:r>
      <w:r w:rsidR="00246B50">
        <w:t xml:space="preserve"> streeft ernaar om </w:t>
      </w:r>
      <w:r>
        <w:t>haar</w:t>
      </w:r>
      <w:r w:rsidR="00246B50">
        <w:t xml:space="preserve"> cliënten maandelijks een tussentijdse factuur te sturen. Het ereloon wordt steeds berekend aan het vooraf afgesproken en vastgelegd uurtarief. Dit geldt voor nagenoeg alle aangerekende prestaties. </w:t>
      </w:r>
      <w:r w:rsidR="00D23EFE">
        <w:t>De hierboven omschreven erelonen zijn inclusief 21% btw. Behalve indien een wet of een ter uitvoering daarvan genomen besluit of administratieve beslissing (circulaire of andere) voorziet in een vrijstelling (daaronder begrepen een verrichting die buiten het toepassingsgebied van de btw valt), zal het ereloon verhoogd worden met de btw tegen het toepasselijke tarief.</w:t>
      </w:r>
    </w:p>
    <w:p w14:paraId="4819EB2A" w14:textId="77777777" w:rsidR="00D23EFE" w:rsidRDefault="00D23EFE" w:rsidP="00246B50">
      <w:pPr>
        <w:jc w:val="left"/>
      </w:pPr>
    </w:p>
    <w:p w14:paraId="011B93AA" w14:textId="47D7F369" w:rsidR="008516A8" w:rsidRDefault="00FB39B0" w:rsidP="00246B50">
      <w:pPr>
        <w:jc w:val="left"/>
      </w:pPr>
      <w:r>
        <w:t xml:space="preserve">Het </w:t>
      </w:r>
      <w:r w:rsidR="00D4289C">
        <w:t xml:space="preserve">Advocatenkantoor </w:t>
      </w:r>
      <w:r w:rsidR="00246B50">
        <w:t>kan voor de aanvang van de opdracht en lopende de behandeling van de zaak één of meerdere voorschotten of provisies vragen. Een voorschot is het forfaitair bedrag dat de cliënt betaalt aan het advocatenkantoor, voorafgaand aan een gedetailleerde staat van kosten en ereloon en dit ter dekking van reeds gedane of nog te maken kosten. Het voorschot wordt steeds aanzien als een louter financiële verrichting. Het document dat verzoekt om het voorschot is geen boekhoudkundig document (factuur). In de effectieve facturen worden de voorschotten op het totale bedrag inclusief de BTW, in mindering gebracht. Bij de eindfactuur zal eventueel een regularisatie plaatsvinden (in plus of in min) van de effectief betaalde voorschotten.</w:t>
      </w:r>
    </w:p>
    <w:p w14:paraId="5753F975" w14:textId="77777777" w:rsidR="006C4CD1" w:rsidRDefault="006C4CD1" w:rsidP="00246B50">
      <w:pPr>
        <w:jc w:val="left"/>
      </w:pPr>
    </w:p>
    <w:p w14:paraId="50F2E8EC" w14:textId="5A420A9D" w:rsidR="00246B50" w:rsidRDefault="00246B50" w:rsidP="00246B50">
      <w:pPr>
        <w:jc w:val="left"/>
      </w:pPr>
      <w:r>
        <w:t xml:space="preserve">De cliënt betaalt de voorschotten en de eindstaat van kosten en erelonen van het </w:t>
      </w:r>
      <w:r w:rsidR="00F24463">
        <w:t xml:space="preserve">Advocatenkantoor </w:t>
      </w:r>
      <w:r>
        <w:t xml:space="preserve">binnen de vijftien dagen na ontvangst van de uitnodiging tot betaling. Het </w:t>
      </w:r>
      <w:r w:rsidR="00372993">
        <w:t>A</w:t>
      </w:r>
      <w:r>
        <w:t>dvocatenkantoor kan, indien dit voor de goede dienstverlening noodzakelijk is, gemotiveerd een kortere betalingstermijn bepalen.</w:t>
      </w:r>
    </w:p>
    <w:p w14:paraId="0797D24D" w14:textId="77777777" w:rsidR="00C55BFA" w:rsidRDefault="00C55BFA" w:rsidP="00246B50">
      <w:pPr>
        <w:jc w:val="left"/>
      </w:pPr>
    </w:p>
    <w:p w14:paraId="11DE7709" w14:textId="77777777" w:rsidR="00246B50" w:rsidRDefault="00246B50" w:rsidP="00246B50">
      <w:pPr>
        <w:jc w:val="left"/>
      </w:pPr>
      <w:r>
        <w:t>Het Advocatenkantoor behoudt zich het recht voor om aan de cliënt in de loop van haar werkzaamheden een voorschot te vragen om pas haar werkzaamheden aan te vatten, respectievelijk voort te zetten of kosten voor te schieten naar betaling ervan.</w:t>
      </w:r>
    </w:p>
    <w:p w14:paraId="2158D593" w14:textId="77777777" w:rsidR="00896771" w:rsidRDefault="00896771" w:rsidP="00246B50">
      <w:pPr>
        <w:jc w:val="left"/>
      </w:pPr>
    </w:p>
    <w:p w14:paraId="3AA41B73" w14:textId="77777777" w:rsidR="00896771" w:rsidRDefault="00896771" w:rsidP="00896771">
      <w:pPr>
        <w:jc w:val="left"/>
      </w:pPr>
      <w:r>
        <w:t>Wanneer een voorschot of provisie onderdeel uitmaakt van een vaste prijs-afspraak en deze niet volledig werd betaald, zal Advocaat Julie Goyvaerts in deze tussenperiode dan ook geen enkele verantwoordelijkheid of aansprakelijkheid dragen.</w:t>
      </w:r>
    </w:p>
    <w:p w14:paraId="6C503541" w14:textId="77777777" w:rsidR="00F17805" w:rsidRDefault="00F17805" w:rsidP="00246B50">
      <w:pPr>
        <w:jc w:val="left"/>
      </w:pPr>
    </w:p>
    <w:p w14:paraId="1E894AD2" w14:textId="228ACE64" w:rsidR="00246B50" w:rsidRDefault="00246B50" w:rsidP="00246B50">
      <w:pPr>
        <w:jc w:val="left"/>
      </w:pPr>
      <w:r>
        <w:t>Indien de cliënt niet akkoord gaat met het gevraagde voorschot of de facturen moet hij deze binnen de zeven dagen na ontvangst schriftelijk protesteren.</w:t>
      </w:r>
      <w:r w:rsidR="00C163E0" w:rsidRPr="00C163E0">
        <w:t xml:space="preserve"> </w:t>
      </w:r>
      <w:r w:rsidR="00C163E0">
        <w:t xml:space="preserve">Na verloop van </w:t>
      </w:r>
      <w:r w:rsidR="00131E60">
        <w:t xml:space="preserve">zeven </w:t>
      </w:r>
      <w:r w:rsidR="00C163E0">
        <w:t>dagen wordt de cliënt geacht de factuur te hebben aanvaard.</w:t>
      </w:r>
    </w:p>
    <w:p w14:paraId="1FA5FD3E" w14:textId="77777777" w:rsidR="00BB52F1" w:rsidRDefault="00BB52F1" w:rsidP="00246B50">
      <w:pPr>
        <w:jc w:val="left"/>
      </w:pPr>
    </w:p>
    <w:p w14:paraId="46BB231A" w14:textId="45AB6383" w:rsidR="00246B50" w:rsidRDefault="00246B50" w:rsidP="00EC4009">
      <w:pPr>
        <w:jc w:val="left"/>
      </w:pPr>
      <w:r>
        <w:t>Na schriftelijke aanmaning tot betaling van de openstaande staat van kosten en erelonen en bij gebrek aan terecht bevonden protest, is de cliënt op het openstaande saldo rente verschuldigd van 1% per maand en dit ingaand vanaf de vervaldag van de factuur.</w:t>
      </w:r>
      <w:r w:rsidR="001869A4">
        <w:t xml:space="preserve"> Elke laattijdige betaling door de cliënt verleent Advocaat Julie Goyvaerts het recht om een forfaitaire schadevergoeding aan te rekenen van 10 % van de factuurbedragen</w:t>
      </w:r>
      <w:r w:rsidR="001869A4" w:rsidRPr="001869A4">
        <w:t xml:space="preserve"> </w:t>
      </w:r>
      <w:r w:rsidR="001869A4">
        <w:t xml:space="preserve">met een minimum van €250,00. Alle kosten verbonden aan het invorderen van de achterstallige factuurbedragen via minnelijke en gerechtelijke weg, inclusief de gerechtsdeurwaarder- en </w:t>
      </w:r>
      <w:r w:rsidR="001869A4">
        <w:lastRenderedPageBreak/>
        <w:t>advocatenkosten, zullen worden doorgerekend aan de cliënt</w:t>
      </w:r>
      <w:r w:rsidR="00893B81">
        <w:t>.</w:t>
      </w:r>
      <w:r w:rsidR="003E1AA8">
        <w:t xml:space="preserve"> </w:t>
      </w:r>
      <w:r>
        <w:t>Bij betwisting zijn enkel de rechtbanken van Antwerpen bevoegd.</w:t>
      </w:r>
    </w:p>
    <w:p w14:paraId="37EEF979" w14:textId="2DDA5725" w:rsidR="00E562EA" w:rsidRDefault="00E562EA" w:rsidP="00EC4009">
      <w:pPr>
        <w:jc w:val="left"/>
      </w:pPr>
      <w:r>
        <w:t>Een afbetalingsplan of gespreide betaling kan enkel worden toegestaan indien hiervoor schriftelijk toestemming werd verleend door Advocaat Julie Goyvaerts.</w:t>
      </w:r>
    </w:p>
    <w:p w14:paraId="3CDF0E16" w14:textId="77777777" w:rsidR="00246B50" w:rsidRDefault="00246B50" w:rsidP="00EC4009">
      <w:pPr>
        <w:jc w:val="left"/>
      </w:pPr>
    </w:p>
    <w:p w14:paraId="06CADDAF" w14:textId="7F3C2DD9" w:rsidR="00EC4009" w:rsidRPr="00342DB3" w:rsidRDefault="00CC1A53" w:rsidP="00603265">
      <w:pPr>
        <w:pStyle w:val="Heading1"/>
      </w:pPr>
      <w:r>
        <w:t>5</w:t>
      </w:r>
      <w:r w:rsidR="00EC4009" w:rsidRPr="00342DB3">
        <w:t xml:space="preserve">. </w:t>
      </w:r>
      <w:r w:rsidR="00EC4009" w:rsidRPr="00603265">
        <w:t>Informatie</w:t>
      </w:r>
    </w:p>
    <w:p w14:paraId="229B6618" w14:textId="77777777" w:rsidR="00EC4009" w:rsidRDefault="00EC4009" w:rsidP="00EC4009">
      <w:pPr>
        <w:jc w:val="left"/>
      </w:pPr>
    </w:p>
    <w:p w14:paraId="2FA7292A" w14:textId="0F633C4B" w:rsidR="00EC4009" w:rsidRDefault="00EC4009" w:rsidP="00EC4009">
      <w:pPr>
        <w:jc w:val="left"/>
      </w:pPr>
      <w:r>
        <w:t>De cliënt wordt volledig geïnformeerd over de opdracht van Advocaat Julie Goyvaerts, alsook over de behandeling en het verloop van de zaak.</w:t>
      </w:r>
    </w:p>
    <w:p w14:paraId="60982849" w14:textId="77777777" w:rsidR="00EC4009" w:rsidRDefault="00EC4009" w:rsidP="00EC4009">
      <w:pPr>
        <w:jc w:val="left"/>
      </w:pPr>
    </w:p>
    <w:p w14:paraId="3AE2F8A4" w14:textId="3F7A4F9D" w:rsidR="00EC4009" w:rsidRDefault="00EC4009" w:rsidP="00EC4009">
      <w:pPr>
        <w:jc w:val="left"/>
      </w:pPr>
      <w:r>
        <w:t xml:space="preserve">De cliënt verbindt zich ertoe stipt en gedurende de gehele duur van de opdracht alle nuttige informatie over te maken aan </w:t>
      </w:r>
      <w:r w:rsidR="00CE6F97">
        <w:t>het Advocatenkantoor</w:t>
      </w:r>
      <w:r>
        <w:t>, desgevallend op verzoek van Advocaat Julie Goyvaerts. Alle nuttige stukken worden bij aanvang van het dossier zo snel mogelijk bezorgd aan Advocaat Julie Goyvaerts. De cliënt staat in voor de juistheid, betrouwbaarheid en volledigheid van deze stukken.</w:t>
      </w:r>
    </w:p>
    <w:p w14:paraId="00CB78D0" w14:textId="77777777" w:rsidR="00EC4009" w:rsidRDefault="00EC4009" w:rsidP="00EC4009">
      <w:pPr>
        <w:jc w:val="left"/>
      </w:pPr>
    </w:p>
    <w:p w14:paraId="306970E3" w14:textId="201D8F70" w:rsidR="00EC4009" w:rsidRDefault="00EC4009" w:rsidP="00EC4009">
      <w:pPr>
        <w:jc w:val="left"/>
      </w:pPr>
      <w:r>
        <w:t>Indien nieuwe feiten of omstandigheden zich aandienen die verband houden met het uitvoeren van het mandaat, verbindt de cliënt zich ertoe deze ter kennis te geven aan Advocaat Julie Goyvaerts.</w:t>
      </w:r>
    </w:p>
    <w:p w14:paraId="581C8EFA" w14:textId="18E66EB9" w:rsidR="00EC4009" w:rsidRDefault="00EC4009" w:rsidP="00EC4009">
      <w:pPr>
        <w:jc w:val="left"/>
      </w:pPr>
    </w:p>
    <w:p w14:paraId="5AA5F6D8" w14:textId="14E8F509" w:rsidR="00EC4009" w:rsidRPr="00342DB3" w:rsidRDefault="009010D6" w:rsidP="00603265">
      <w:pPr>
        <w:pStyle w:val="Heading1"/>
      </w:pPr>
      <w:r>
        <w:t>6</w:t>
      </w:r>
      <w:r w:rsidR="00EC4009" w:rsidRPr="00342DB3">
        <w:t>. Beroep op derden</w:t>
      </w:r>
    </w:p>
    <w:p w14:paraId="3A98875D" w14:textId="77777777" w:rsidR="00EC4009" w:rsidRDefault="00EC4009" w:rsidP="00EC4009">
      <w:pPr>
        <w:jc w:val="left"/>
      </w:pPr>
    </w:p>
    <w:p w14:paraId="2BFB9722" w14:textId="45582762" w:rsidR="00EC4009" w:rsidRDefault="00EC4009" w:rsidP="00EC4009">
      <w:pPr>
        <w:jc w:val="left"/>
      </w:pPr>
      <w:r>
        <w:t xml:space="preserve">Buiten de gebruikelijke taken die in het </w:t>
      </w:r>
      <w:r w:rsidR="00840758">
        <w:t>A</w:t>
      </w:r>
      <w:r>
        <w:t xml:space="preserve">dvocatenkantoor worden vervuld, gaat de cliënt akkoord dat Advocaat Julie Goyvaerts, onder de verantwoordelijkheid van deze laatste, voor specifieke of gespecialiseerde opdrachten een beroep kan doen op andere advocaten, al dan niet binnen het </w:t>
      </w:r>
      <w:r w:rsidR="005621BD">
        <w:t>Advocatenkantoor</w:t>
      </w:r>
      <w:r>
        <w:t>, voor de uitvoering van de opdracht.</w:t>
      </w:r>
    </w:p>
    <w:p w14:paraId="441A302F" w14:textId="77777777" w:rsidR="00EC4009" w:rsidRDefault="00EC4009" w:rsidP="00EC4009">
      <w:pPr>
        <w:jc w:val="left"/>
      </w:pPr>
    </w:p>
    <w:p w14:paraId="6DE1C4F2" w14:textId="3426785F" w:rsidR="00EC4009" w:rsidRDefault="00EC4009" w:rsidP="00EC4009">
      <w:pPr>
        <w:jc w:val="left"/>
      </w:pPr>
      <w:r>
        <w:t>Indien Advocaat Julie Goyvaerts dit nodig acht, kan zij beroep doen op andere derden, zoals notarissen, deskundigen of accountants, gekozen in overleg met de cliënt. De kosten worden aan kostprijs gefactureerd aan de cliënt.</w:t>
      </w:r>
    </w:p>
    <w:p w14:paraId="2F1BFE3D" w14:textId="77777777" w:rsidR="00EC4009" w:rsidRDefault="00EC4009" w:rsidP="00EC4009">
      <w:pPr>
        <w:jc w:val="left"/>
      </w:pPr>
    </w:p>
    <w:p w14:paraId="399E91F0" w14:textId="07C6099B" w:rsidR="00EC4009" w:rsidRPr="00342DB3" w:rsidRDefault="00BE212D" w:rsidP="00603265">
      <w:pPr>
        <w:pStyle w:val="Heading1"/>
      </w:pPr>
      <w:r>
        <w:t>7</w:t>
      </w:r>
      <w:r w:rsidR="00EC4009" w:rsidRPr="00342DB3">
        <w:t>. Derdengelden</w:t>
      </w:r>
    </w:p>
    <w:p w14:paraId="531B47DE" w14:textId="77777777" w:rsidR="00EC4009" w:rsidRDefault="00EC4009" w:rsidP="00EC4009">
      <w:pPr>
        <w:jc w:val="left"/>
      </w:pPr>
    </w:p>
    <w:p w14:paraId="13518260" w14:textId="6521A55C" w:rsidR="00EC4009" w:rsidRDefault="00BA355A" w:rsidP="00EC4009">
      <w:pPr>
        <w:jc w:val="left"/>
      </w:pPr>
      <w:r>
        <w:t>Het Advocatenkantoor</w:t>
      </w:r>
      <w:r w:rsidR="00EC4009">
        <w:t xml:space="preserve"> stort alle bedragen die </w:t>
      </w:r>
      <w:r w:rsidR="00003E21">
        <w:t>ze</w:t>
      </w:r>
      <w:r w:rsidR="00EC4009">
        <w:t xml:space="preserve"> voor </w:t>
      </w:r>
      <w:r w:rsidR="00003E21">
        <w:t>haar</w:t>
      </w:r>
      <w:r w:rsidR="00EC4009">
        <w:t xml:space="preserve"> cliënt ontvangt binnen de kortst mogelijke tijd door aan zijn cliënt. Dit betreft een inspanningsverbintenis. Indien </w:t>
      </w:r>
      <w:r w:rsidR="00D750D7">
        <w:t xml:space="preserve">ze </w:t>
      </w:r>
      <w:r w:rsidR="00EC4009">
        <w:t xml:space="preserve">een bedrag niet onmiddellijk kan doorstorten, verwittigt </w:t>
      </w:r>
      <w:r w:rsidR="00D750D7">
        <w:t>ze</w:t>
      </w:r>
      <w:r w:rsidR="00EC4009">
        <w:t xml:space="preserve"> de cliënt van de ontvangst van het bedrag en brengt zij hem op de hoogte van de reden waarom het bedrag niet wordt doorgestort.</w:t>
      </w:r>
    </w:p>
    <w:p w14:paraId="2A553F3B" w14:textId="77777777" w:rsidR="00EC4009" w:rsidRDefault="00EC4009" w:rsidP="00EC4009">
      <w:pPr>
        <w:jc w:val="left"/>
      </w:pPr>
    </w:p>
    <w:p w14:paraId="5108A907" w14:textId="4276ADE5" w:rsidR="00EC4009" w:rsidRDefault="00B76CE6" w:rsidP="00EC4009">
      <w:pPr>
        <w:jc w:val="left"/>
      </w:pPr>
      <w:r>
        <w:t xml:space="preserve">Het Advocatenkantoor </w:t>
      </w:r>
      <w:r w:rsidR="00EC4009">
        <w:t>mag op de bedragen die zij ontvangt voor rekening van de cliënt sommen inhouden tot dekking van openstaande provisies of staten van kosten en ereloon. Zij brengt de cliënt hiervan schriftelijk op de hoogte.</w:t>
      </w:r>
      <w:r w:rsidR="000412A3">
        <w:t xml:space="preserve"> </w:t>
      </w:r>
      <w:r w:rsidR="00EC4009">
        <w:t xml:space="preserve">Deze bepaling doet geen afbreuk aan het recht van de cliënt om de ereloonstaten van </w:t>
      </w:r>
      <w:r w:rsidR="00F736CC">
        <w:t>h</w:t>
      </w:r>
      <w:r w:rsidR="000412A3">
        <w:t xml:space="preserve">et Advocatenkantoor </w:t>
      </w:r>
      <w:r w:rsidR="00EC4009">
        <w:t>te betwisten en betaling van deze ingehouden bedragen te vorderen.</w:t>
      </w:r>
    </w:p>
    <w:p w14:paraId="3CB7D5B3" w14:textId="77777777" w:rsidR="00EC4009" w:rsidRDefault="00EC4009" w:rsidP="00EC4009">
      <w:pPr>
        <w:jc w:val="left"/>
      </w:pPr>
    </w:p>
    <w:p w14:paraId="6F47EE0E" w14:textId="208A9FEE" w:rsidR="00EC4009" w:rsidRDefault="007812B6" w:rsidP="00EC4009">
      <w:pPr>
        <w:jc w:val="left"/>
      </w:pPr>
      <w:r>
        <w:t xml:space="preserve">Het Advocatenkantoor </w:t>
      </w:r>
      <w:r w:rsidR="00EC4009">
        <w:t>verbindt zich tevens ertoe om alle bedragen die zij van de cliënt ontvangt voor rekening van derden, zo snel mogelijk door te storten aan deze derden.</w:t>
      </w:r>
    </w:p>
    <w:p w14:paraId="7C45AD93" w14:textId="77777777" w:rsidR="00EC4009" w:rsidRDefault="00EC4009" w:rsidP="00EC4009">
      <w:pPr>
        <w:jc w:val="left"/>
      </w:pPr>
    </w:p>
    <w:p w14:paraId="7ED375F6" w14:textId="77777777" w:rsidR="00B9674E" w:rsidRDefault="00B9674E" w:rsidP="00EC4009">
      <w:pPr>
        <w:jc w:val="left"/>
      </w:pPr>
    </w:p>
    <w:p w14:paraId="35848FE3" w14:textId="63E38267" w:rsidR="00EC4009" w:rsidRPr="00342DB3" w:rsidRDefault="000F5349" w:rsidP="00603265">
      <w:pPr>
        <w:pStyle w:val="Heading1"/>
      </w:pPr>
      <w:r>
        <w:lastRenderedPageBreak/>
        <w:t>8</w:t>
      </w:r>
      <w:r w:rsidR="00EC4009" w:rsidRPr="00342DB3">
        <w:t>. Aansprakelijkheid</w:t>
      </w:r>
    </w:p>
    <w:p w14:paraId="2412CCE4" w14:textId="77777777" w:rsidR="00EC4009" w:rsidRDefault="00EC4009" w:rsidP="00EC4009">
      <w:pPr>
        <w:jc w:val="left"/>
      </w:pPr>
    </w:p>
    <w:p w14:paraId="3990DA98" w14:textId="0448B232" w:rsidR="00EC4009" w:rsidRDefault="00EC4009" w:rsidP="00EC4009">
      <w:pPr>
        <w:jc w:val="left"/>
      </w:pPr>
      <w:r>
        <w:t>Advocaat Julie Goyvaerts levert een inspanningsverbintenis die zij naar best vermoggen zal uitvoeren. Hierbij kan evenwel geen welbepaald resultaat gegarandeerd worden.</w:t>
      </w:r>
    </w:p>
    <w:p w14:paraId="23BC2A6F" w14:textId="77777777" w:rsidR="00EC4009" w:rsidRDefault="00EC4009" w:rsidP="00EC4009">
      <w:pPr>
        <w:jc w:val="left"/>
      </w:pPr>
    </w:p>
    <w:p w14:paraId="051EDEFA" w14:textId="4ECD2D1B" w:rsidR="00EC4009" w:rsidRDefault="00D144E2" w:rsidP="00EC4009">
      <w:pPr>
        <w:jc w:val="left"/>
      </w:pPr>
      <w:r>
        <w:t xml:space="preserve">Advocaat Julie Goyvaerts is </w:t>
      </w:r>
      <w:r w:rsidR="00EC4009">
        <w:t>verzekerd via een collectieve verzekering ‘burgerrechtelijke beroepsaansprakelijkheid’, afgesloten door de Orde van Vlaamse Balies.</w:t>
      </w:r>
    </w:p>
    <w:p w14:paraId="6F94669D" w14:textId="77777777" w:rsidR="00EC4009" w:rsidRDefault="00EC4009" w:rsidP="00EC4009">
      <w:pPr>
        <w:jc w:val="left"/>
      </w:pPr>
    </w:p>
    <w:p w14:paraId="0C5CC390" w14:textId="14505380" w:rsidR="00EC4009" w:rsidRDefault="00EC4009" w:rsidP="00EC4009">
      <w:pPr>
        <w:jc w:val="left"/>
      </w:pPr>
      <w:r>
        <w:t xml:space="preserve">De beroepsaansprakelijkheid van Advocaat Julie Goyvaerts en de advocaten die het dossier </w:t>
      </w:r>
      <w:r w:rsidR="002E38E2">
        <w:t xml:space="preserve">onder haar verantwoordelijkheid </w:t>
      </w:r>
      <w:r>
        <w:t xml:space="preserve">behandelen, is beperkt tot het bedrag dat gedekt wordt via de verzekering. De cliënt vindt de hoger vermelde verzekering aldus voldoende en aanvaardt dat de vergoeding van de bewezen schade die hij lijdt tengevolge van een beroepsfout van een </w:t>
      </w:r>
      <w:r w:rsidR="003F082A">
        <w:t>Advocaat Julie Goyvaerts</w:t>
      </w:r>
      <w:r>
        <w:t>, in alle gevallen en ongeacht het karakter van de fout, wordt beperkt tot het bedrag waarvoor de advocaat is verzekerd.</w:t>
      </w:r>
    </w:p>
    <w:p w14:paraId="18D23E1D" w14:textId="77777777" w:rsidR="00EC4009" w:rsidRDefault="00EC4009" w:rsidP="00EC4009">
      <w:pPr>
        <w:jc w:val="left"/>
      </w:pPr>
    </w:p>
    <w:p w14:paraId="5DC71B44" w14:textId="71DE49C0" w:rsidR="00EC4009" w:rsidRDefault="00055EED" w:rsidP="00EC4009">
      <w:pPr>
        <w:jc w:val="left"/>
      </w:pPr>
      <w:r>
        <w:t xml:space="preserve">Advocaat Julie Goyvaerts </w:t>
      </w:r>
      <w:r w:rsidR="00EC4009">
        <w:t xml:space="preserve">wijst elke aansprakelijkheid af, van welke aard dan ook, met betrekking tot adviezen en diensten die verstrekt worden door advocaten die geen deel uitmaken van het </w:t>
      </w:r>
      <w:r w:rsidR="00563C66">
        <w:t>Advocaten</w:t>
      </w:r>
      <w:r w:rsidR="00EC4009">
        <w:t xml:space="preserve">kantoor, deskundigen of elke andere leverancier van diensten waarop </w:t>
      </w:r>
      <w:r w:rsidR="005A39D1">
        <w:t xml:space="preserve">het Advocatenkantoor </w:t>
      </w:r>
      <w:r w:rsidR="00EC4009">
        <w:t>eventueel beroep zou moeten doen in het raam van onze bijstand in het dossier van een cliënt.</w:t>
      </w:r>
    </w:p>
    <w:p w14:paraId="722A8C0B" w14:textId="77777777" w:rsidR="00EC4009" w:rsidRDefault="00EC4009" w:rsidP="00EC4009">
      <w:pPr>
        <w:jc w:val="left"/>
      </w:pPr>
    </w:p>
    <w:p w14:paraId="3A6DE322" w14:textId="078AC815" w:rsidR="00EC4009" w:rsidRDefault="00EC4009" w:rsidP="00EC4009">
      <w:pPr>
        <w:jc w:val="left"/>
      </w:pPr>
      <w:r>
        <w:t>Advocaat Julie Goyvaerts kan gebeurlijk enkel aansprakelijk zijn voor schade die rechtstreeks voortvloeit uit de aan het kantoor verleende opdracht.</w:t>
      </w:r>
    </w:p>
    <w:p w14:paraId="5F523F96" w14:textId="77777777" w:rsidR="009148CE" w:rsidRDefault="009148CE" w:rsidP="00EC4009">
      <w:pPr>
        <w:jc w:val="left"/>
      </w:pPr>
    </w:p>
    <w:p w14:paraId="479CFC9E" w14:textId="4FB13B7D" w:rsidR="009148CE" w:rsidRDefault="009148CE" w:rsidP="00EC4009">
      <w:pPr>
        <w:jc w:val="left"/>
      </w:pPr>
      <w:r>
        <w:t xml:space="preserve">Advocaat Julie Goyvaerts </w:t>
      </w:r>
      <w:r w:rsidRPr="009148CE">
        <w:t>is onderworpen aan het Gerechtelijk Wetboek, de reglementen van de Orde van Vlaamse Balies en de reglementen van de Nationale Orde van Advocaten, ondergebracht in de Codex Deontologie voor Advocaten.</w:t>
      </w:r>
    </w:p>
    <w:p w14:paraId="3C93A76D" w14:textId="77777777" w:rsidR="00EC4009" w:rsidRDefault="00EC4009" w:rsidP="00EC4009">
      <w:pPr>
        <w:jc w:val="left"/>
      </w:pPr>
    </w:p>
    <w:p w14:paraId="24AF6A9E" w14:textId="30C84CDF" w:rsidR="00EC4009" w:rsidRPr="00342DB3" w:rsidRDefault="009A4DFD" w:rsidP="00603265">
      <w:pPr>
        <w:pStyle w:val="Heading1"/>
      </w:pPr>
      <w:r>
        <w:t>9</w:t>
      </w:r>
      <w:r w:rsidR="00EC4009" w:rsidRPr="00342DB3">
        <w:t>. Toepassing witwaspreventiewet</w:t>
      </w:r>
    </w:p>
    <w:p w14:paraId="771FCD13" w14:textId="77777777" w:rsidR="00EC4009" w:rsidRDefault="00EC4009" w:rsidP="00EC4009">
      <w:pPr>
        <w:jc w:val="left"/>
      </w:pPr>
    </w:p>
    <w:p w14:paraId="142919CC" w14:textId="27ACB044" w:rsidR="00EC4009" w:rsidRDefault="00383418" w:rsidP="00EC4009">
      <w:pPr>
        <w:jc w:val="left"/>
      </w:pPr>
      <w:r w:rsidRPr="00383418">
        <w:t xml:space="preserve">Het </w:t>
      </w:r>
      <w:r>
        <w:t>A</w:t>
      </w:r>
      <w:r w:rsidRPr="00383418">
        <w:t>dvocatenkantoor informeert de cliënt stipt over de uitvoering van zijn opdracht en over het verloop van de behandeling van de zaak. De cliënt geeft stipt en gedurende de gehele duur van de opdracht, desgevallend op verzoek van het advocatenkantoor, alle nuttige informatie aan het advocatenkantoor. Ondergetekende neemt nota van de toepasselijkheid van de Witwaspreventiewet van 12.01.2004, hetgeen voor de advocaat de wettelijke verplichting inhoudt tot identificatie van het cliënteel en de melding van witwaspraktijken aan de Stafhouder van de balie te Antwerpen.</w:t>
      </w:r>
    </w:p>
    <w:p w14:paraId="5EDBC4DD" w14:textId="77777777" w:rsidR="00383418" w:rsidRDefault="00383418" w:rsidP="00EC4009">
      <w:pPr>
        <w:jc w:val="left"/>
      </w:pPr>
    </w:p>
    <w:p w14:paraId="259DEDCC" w14:textId="28316307" w:rsidR="00EC4009" w:rsidRDefault="00EC4009" w:rsidP="00EC4009">
      <w:pPr>
        <w:jc w:val="left"/>
      </w:pPr>
      <w:r>
        <w:t xml:space="preserve">Daarnaast dient </w:t>
      </w:r>
      <w:r w:rsidR="001460B7">
        <w:t>Advocaat Julie Goyvaerts</w:t>
      </w:r>
      <w:r>
        <w:t xml:space="preserve"> de identiteit te kennen van cliënten die niet fysiek aanwezig zijn, alsook dient hij te kunnen achterhalen of de cliënten, lasthebbers of uiteindelijke begunstigden een politiek prominent persoon zijn.</w:t>
      </w:r>
    </w:p>
    <w:p w14:paraId="06D8549C" w14:textId="77777777" w:rsidR="00EC4009" w:rsidRDefault="00EC4009" w:rsidP="00EC4009">
      <w:pPr>
        <w:jc w:val="left"/>
      </w:pPr>
    </w:p>
    <w:p w14:paraId="36B86F72" w14:textId="1E844E6B" w:rsidR="00EC4009" w:rsidRDefault="00EC4009" w:rsidP="00EC4009">
      <w:pPr>
        <w:jc w:val="left"/>
      </w:pPr>
      <w:r>
        <w:t xml:space="preserve">Deze plicht tot waakzaamheid en identificatie vraagt medewerking van de cliënt. Indien de cliënt de verwachte gegevens niet meedeelt binnen 14 dagen – behoudens uitzonderlijke omstandigheden, kan de </w:t>
      </w:r>
      <w:r w:rsidR="00032E56">
        <w:t xml:space="preserve">Advocaat Julie Goyvaerts </w:t>
      </w:r>
      <w:r>
        <w:t xml:space="preserve">de zakelijke relatie niet aangaan en indien </w:t>
      </w:r>
      <w:r w:rsidR="00A63541">
        <w:t>zij</w:t>
      </w:r>
      <w:r>
        <w:t xml:space="preserve"> reeds voorlopig had opgetreden zal </w:t>
      </w:r>
      <w:r w:rsidR="002E66CC">
        <w:t>zij</w:t>
      </w:r>
      <w:r>
        <w:t xml:space="preserve"> </w:t>
      </w:r>
      <w:r w:rsidR="002E66CC">
        <w:t>haar</w:t>
      </w:r>
      <w:r>
        <w:t xml:space="preserve"> verdere tussenkomst beëindigen.</w:t>
      </w:r>
    </w:p>
    <w:p w14:paraId="4E3CA0FA" w14:textId="77777777" w:rsidR="00EC4009" w:rsidRDefault="00EC4009" w:rsidP="00EC4009">
      <w:pPr>
        <w:jc w:val="left"/>
      </w:pPr>
    </w:p>
    <w:p w14:paraId="4A3FD1CE" w14:textId="0A5920A3" w:rsidR="00EC4009" w:rsidRDefault="00EC4009" w:rsidP="00EC4009">
      <w:pPr>
        <w:jc w:val="left"/>
      </w:pPr>
      <w:r>
        <w:t xml:space="preserve">De Stafhouder zal de informatie doorgeven aan de Cel voor Financiële Informatieverwerking. Het is </w:t>
      </w:r>
      <w:r w:rsidR="009171A7">
        <w:t xml:space="preserve">Advocaat Julie Goyvaerts </w:t>
      </w:r>
      <w:r>
        <w:t>en de Stafhouder verboden om de cliënt in te lichten dat informatie werd meegedeeld of dat er een onderzoek aan de gang is.</w:t>
      </w:r>
    </w:p>
    <w:p w14:paraId="5638A00C" w14:textId="5C9A122E" w:rsidR="00EC4009" w:rsidRPr="00342DB3" w:rsidRDefault="009A4DFD" w:rsidP="00603265">
      <w:pPr>
        <w:pStyle w:val="Heading1"/>
      </w:pPr>
      <w:r>
        <w:lastRenderedPageBreak/>
        <w:t>10</w:t>
      </w:r>
      <w:r w:rsidR="00EC4009" w:rsidRPr="00342DB3">
        <w:t>. Beëindiging van de overeenkomst</w:t>
      </w:r>
    </w:p>
    <w:p w14:paraId="543209BA" w14:textId="77777777" w:rsidR="00EC4009" w:rsidRDefault="00EC4009" w:rsidP="00EC4009">
      <w:pPr>
        <w:jc w:val="left"/>
      </w:pPr>
    </w:p>
    <w:p w14:paraId="5560C227" w14:textId="1A050C80" w:rsidR="00EC4009" w:rsidRDefault="00EC4009" w:rsidP="00EC4009">
      <w:pPr>
        <w:jc w:val="left"/>
      </w:pPr>
      <w:r>
        <w:t>Na het sluiten van het dossier, wordt het dossier gearchiveerd en 5 jaar bijgehouden vanaf de datum waarop de laatste prestatie door Advocaat Julie Goyvaerts werd geleverd. Na 5 jaar wordt het dossier vernietigd.</w:t>
      </w:r>
    </w:p>
    <w:p w14:paraId="5FF9F618" w14:textId="77777777" w:rsidR="00EC4009" w:rsidRDefault="00EC4009" w:rsidP="00EC4009">
      <w:pPr>
        <w:jc w:val="left"/>
      </w:pPr>
    </w:p>
    <w:p w14:paraId="0BCD1822" w14:textId="57DF85DF" w:rsidR="00EC4009" w:rsidRDefault="00EC4009" w:rsidP="00EC4009">
      <w:pPr>
        <w:jc w:val="left"/>
      </w:pPr>
      <w:r>
        <w:t>De cliënt kan op elk ogenblik de overeenkomst beëindigen door Advocaat Julie Goyvaerts daarvan schriftelijk op de hoogte te stellen.</w:t>
      </w:r>
      <w:r w:rsidR="009B06F5">
        <w:t xml:space="preserve"> </w:t>
      </w:r>
      <w:r>
        <w:t>Advocaat Julie Goyvaerts maakt haar eindstaat van ereloon en kosten over aan de cliënt, rekening houdende met haar prestaties tot aan de beëindiging van de overeenkomst.</w:t>
      </w:r>
    </w:p>
    <w:p w14:paraId="2E95EA62" w14:textId="77777777" w:rsidR="00EC4009" w:rsidRDefault="00EC4009" w:rsidP="00EC4009">
      <w:pPr>
        <w:jc w:val="left"/>
      </w:pPr>
    </w:p>
    <w:p w14:paraId="29D907B9" w14:textId="56239848" w:rsidR="00EC4009" w:rsidRDefault="00EC4009" w:rsidP="00EC4009">
      <w:pPr>
        <w:jc w:val="left"/>
      </w:pPr>
      <w:r>
        <w:t>Op eerste verzoek zal Advocaat Julie Goyvaerts binnen een redelijke termijn aan de cliënt de stukken van het dossier terugbezorgen.</w:t>
      </w:r>
    </w:p>
    <w:p w14:paraId="1DF32BCE" w14:textId="77777777" w:rsidR="00EC4009" w:rsidRDefault="00EC4009" w:rsidP="00EC4009">
      <w:pPr>
        <w:jc w:val="left"/>
      </w:pPr>
    </w:p>
    <w:p w14:paraId="4BE21308" w14:textId="25467506" w:rsidR="00EC4009" w:rsidRDefault="00EC4009" w:rsidP="00EC4009">
      <w:pPr>
        <w:jc w:val="left"/>
      </w:pPr>
      <w:r>
        <w:t xml:space="preserve">Advocaat Julie Goyvaerts kan ten allen tijde een einde maken aan de overeenkomst door de cliënt hiervan schriftelijk op de hoogte te stellen. Voor de bepaling van het ogenblik waarop </w:t>
      </w:r>
      <w:r w:rsidR="003B020E">
        <w:t>zij</w:t>
      </w:r>
      <w:r>
        <w:t xml:space="preserve"> </w:t>
      </w:r>
      <w:r w:rsidR="003B020E">
        <w:t>haar</w:t>
      </w:r>
      <w:r>
        <w:t xml:space="preserve"> prestaties staakt, dient Advocaat Julie Goyvaerts rekening te houden met de mogelijkheid voor de cliënt om tijdig de nodige bijstand te verkrijgen van een andere advocaat.</w:t>
      </w:r>
    </w:p>
    <w:p w14:paraId="3B0104FB" w14:textId="77777777" w:rsidR="00EC4009" w:rsidRDefault="00EC4009" w:rsidP="00EC4009">
      <w:pPr>
        <w:jc w:val="left"/>
      </w:pPr>
    </w:p>
    <w:p w14:paraId="3128DA51" w14:textId="40FAE3F3" w:rsidR="00EC4009" w:rsidRPr="00342DB3" w:rsidRDefault="00EC4009" w:rsidP="00603265">
      <w:pPr>
        <w:pStyle w:val="Heading1"/>
      </w:pPr>
      <w:r w:rsidRPr="00342DB3">
        <w:t>1</w:t>
      </w:r>
      <w:r w:rsidR="009A4DFD">
        <w:t>1</w:t>
      </w:r>
      <w:r w:rsidRPr="00342DB3">
        <w:t>. Toepasselijk recht en geschillen</w:t>
      </w:r>
    </w:p>
    <w:p w14:paraId="6BBB9FA5" w14:textId="77777777" w:rsidR="00EC4009" w:rsidRDefault="00EC4009" w:rsidP="00EC4009">
      <w:pPr>
        <w:jc w:val="left"/>
      </w:pPr>
    </w:p>
    <w:p w14:paraId="074C13B2" w14:textId="65A5833E" w:rsidR="00EC4009" w:rsidRDefault="00EC4009" w:rsidP="00EC4009">
      <w:pPr>
        <w:jc w:val="left"/>
      </w:pPr>
      <w:r>
        <w:t>Het Belgisch recht is van toepassing, met uitsluiting van elk ander recht.</w:t>
      </w:r>
    </w:p>
    <w:p w14:paraId="2C13FAFE" w14:textId="77777777" w:rsidR="00EC4009" w:rsidRDefault="00EC4009" w:rsidP="00EC4009">
      <w:pPr>
        <w:jc w:val="left"/>
      </w:pPr>
    </w:p>
    <w:p w14:paraId="0C9C44F8" w14:textId="61E56C8D" w:rsidR="00EC4009" w:rsidRDefault="00EC4009" w:rsidP="00EC4009">
      <w:pPr>
        <w:jc w:val="left"/>
      </w:pPr>
      <w:r>
        <w:t>Geschillen behoren tot de exclusieve bevoegdheid van de Rechtbanken te Antwerpen, zonder afbreuk te willen doen aan bevoegde instanties bij de Orde van Vlaamse balies of de balie van Antwerpen.</w:t>
      </w:r>
    </w:p>
    <w:p w14:paraId="2F5F4E3B" w14:textId="77777777" w:rsidR="00EC4009" w:rsidRDefault="00EC4009" w:rsidP="00EC4009">
      <w:pPr>
        <w:jc w:val="left"/>
      </w:pPr>
    </w:p>
    <w:p w14:paraId="3B7E049D" w14:textId="552A2891" w:rsidR="00B450F9" w:rsidRDefault="00EC4009" w:rsidP="00B450F9">
      <w:pPr>
        <w:jc w:val="left"/>
      </w:pPr>
      <w:r>
        <w:t>Indien één of meerdere bedingen van deze algemene voorwaarden ongeldig of nietig zouden zijn, dan tast dit de geldigheid en afdwingbaarheid van de andere bedingen van deze algemene voorwaarden niet aan.</w:t>
      </w:r>
    </w:p>
    <w:sectPr w:rsidR="00B450F9">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2F9AF" w14:textId="77777777" w:rsidR="0051676A" w:rsidRDefault="0051676A" w:rsidP="00F438B5">
      <w:r>
        <w:separator/>
      </w:r>
    </w:p>
  </w:endnote>
  <w:endnote w:type="continuationSeparator" w:id="0">
    <w:p w14:paraId="2010AA56" w14:textId="77777777" w:rsidR="0051676A" w:rsidRDefault="0051676A" w:rsidP="00F4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107923278"/>
      <w:docPartObj>
        <w:docPartGallery w:val="Page Numbers (Bottom of Page)"/>
        <w:docPartUnique/>
      </w:docPartObj>
    </w:sdtPr>
    <w:sdtContent>
      <w:p w14:paraId="05FA4D49" w14:textId="628BE921" w:rsidR="00F438B5" w:rsidRDefault="00F438B5" w:rsidP="004A76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91C8117" w14:textId="77777777" w:rsidR="00F438B5" w:rsidRDefault="00F438B5" w:rsidP="00F438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86469637"/>
      <w:docPartObj>
        <w:docPartGallery w:val="Page Numbers (Bottom of Page)"/>
        <w:docPartUnique/>
      </w:docPartObj>
    </w:sdtPr>
    <w:sdtContent>
      <w:p w14:paraId="55FE0BB3" w14:textId="3E46D69F" w:rsidR="00F438B5" w:rsidRDefault="00F438B5" w:rsidP="004A760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A1E5FB" w14:textId="77777777" w:rsidR="00F438B5" w:rsidRDefault="00F438B5" w:rsidP="00F438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9F06BE" w14:textId="77777777" w:rsidR="0051676A" w:rsidRDefault="0051676A" w:rsidP="00F438B5">
      <w:r>
        <w:separator/>
      </w:r>
    </w:p>
  </w:footnote>
  <w:footnote w:type="continuationSeparator" w:id="0">
    <w:p w14:paraId="718AB64F" w14:textId="77777777" w:rsidR="0051676A" w:rsidRDefault="0051676A" w:rsidP="00F43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61428"/>
    <w:multiLevelType w:val="hybridMultilevel"/>
    <w:tmpl w:val="2A42A416"/>
    <w:lvl w:ilvl="0" w:tplc="B78AD836">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9152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AC2"/>
    <w:rsid w:val="000006A6"/>
    <w:rsid w:val="00003E21"/>
    <w:rsid w:val="000103BF"/>
    <w:rsid w:val="000327A9"/>
    <w:rsid w:val="00032E56"/>
    <w:rsid w:val="0004041F"/>
    <w:rsid w:val="000412A3"/>
    <w:rsid w:val="000467B6"/>
    <w:rsid w:val="00047A3E"/>
    <w:rsid w:val="00053699"/>
    <w:rsid w:val="00055EED"/>
    <w:rsid w:val="00062723"/>
    <w:rsid w:val="00070853"/>
    <w:rsid w:val="000906DC"/>
    <w:rsid w:val="0009104E"/>
    <w:rsid w:val="0009773E"/>
    <w:rsid w:val="000A7E94"/>
    <w:rsid w:val="000B4F8D"/>
    <w:rsid w:val="000C7163"/>
    <w:rsid w:val="000D1804"/>
    <w:rsid w:val="000D1CF1"/>
    <w:rsid w:val="000D2076"/>
    <w:rsid w:val="000F0290"/>
    <w:rsid w:val="000F5349"/>
    <w:rsid w:val="00100C6C"/>
    <w:rsid w:val="0011184D"/>
    <w:rsid w:val="00112164"/>
    <w:rsid w:val="00123029"/>
    <w:rsid w:val="00131E60"/>
    <w:rsid w:val="00140946"/>
    <w:rsid w:val="00141710"/>
    <w:rsid w:val="001460B7"/>
    <w:rsid w:val="0015596D"/>
    <w:rsid w:val="00176C3D"/>
    <w:rsid w:val="001869A4"/>
    <w:rsid w:val="0019722F"/>
    <w:rsid w:val="00197F1E"/>
    <w:rsid w:val="001A1592"/>
    <w:rsid w:val="001C1819"/>
    <w:rsid w:val="001D3B3B"/>
    <w:rsid w:val="001E6625"/>
    <w:rsid w:val="001E6EC4"/>
    <w:rsid w:val="00235547"/>
    <w:rsid w:val="002449B9"/>
    <w:rsid w:val="00246B50"/>
    <w:rsid w:val="002566A1"/>
    <w:rsid w:val="00291322"/>
    <w:rsid w:val="002B5EFB"/>
    <w:rsid w:val="002D6C65"/>
    <w:rsid w:val="002E38E2"/>
    <w:rsid w:val="002E66CC"/>
    <w:rsid w:val="003033E1"/>
    <w:rsid w:val="003329FC"/>
    <w:rsid w:val="00342DB3"/>
    <w:rsid w:val="003535B5"/>
    <w:rsid w:val="00372993"/>
    <w:rsid w:val="00383418"/>
    <w:rsid w:val="0039213E"/>
    <w:rsid w:val="003A29D3"/>
    <w:rsid w:val="003B020E"/>
    <w:rsid w:val="003B4B01"/>
    <w:rsid w:val="003D3C93"/>
    <w:rsid w:val="003E1AA8"/>
    <w:rsid w:val="003F082A"/>
    <w:rsid w:val="00432D51"/>
    <w:rsid w:val="004412CA"/>
    <w:rsid w:val="004557DE"/>
    <w:rsid w:val="00481ABA"/>
    <w:rsid w:val="00483FAB"/>
    <w:rsid w:val="004B24D3"/>
    <w:rsid w:val="004F6AD5"/>
    <w:rsid w:val="0051676A"/>
    <w:rsid w:val="005509AA"/>
    <w:rsid w:val="005621BD"/>
    <w:rsid w:val="0056340B"/>
    <w:rsid w:val="00563C66"/>
    <w:rsid w:val="00583891"/>
    <w:rsid w:val="005A39D1"/>
    <w:rsid w:val="005A4616"/>
    <w:rsid w:val="005A5056"/>
    <w:rsid w:val="005B3299"/>
    <w:rsid w:val="005C7105"/>
    <w:rsid w:val="005C735E"/>
    <w:rsid w:val="005D21EE"/>
    <w:rsid w:val="005D3060"/>
    <w:rsid w:val="00603265"/>
    <w:rsid w:val="00604615"/>
    <w:rsid w:val="00624FC2"/>
    <w:rsid w:val="00653740"/>
    <w:rsid w:val="00666795"/>
    <w:rsid w:val="00674A90"/>
    <w:rsid w:val="006A4A4E"/>
    <w:rsid w:val="006C4CD1"/>
    <w:rsid w:val="006D4F32"/>
    <w:rsid w:val="0070799C"/>
    <w:rsid w:val="007206D5"/>
    <w:rsid w:val="007223CD"/>
    <w:rsid w:val="00747934"/>
    <w:rsid w:val="007812B6"/>
    <w:rsid w:val="00796D0C"/>
    <w:rsid w:val="007A6893"/>
    <w:rsid w:val="007E1623"/>
    <w:rsid w:val="007E6A25"/>
    <w:rsid w:val="00840758"/>
    <w:rsid w:val="008516A8"/>
    <w:rsid w:val="00855AC2"/>
    <w:rsid w:val="00855CAA"/>
    <w:rsid w:val="008638BA"/>
    <w:rsid w:val="008823DA"/>
    <w:rsid w:val="008926DF"/>
    <w:rsid w:val="00892EF4"/>
    <w:rsid w:val="00893B81"/>
    <w:rsid w:val="008942C4"/>
    <w:rsid w:val="00896771"/>
    <w:rsid w:val="008C0170"/>
    <w:rsid w:val="008C3B92"/>
    <w:rsid w:val="008D16E9"/>
    <w:rsid w:val="008D302B"/>
    <w:rsid w:val="009010D6"/>
    <w:rsid w:val="009148CE"/>
    <w:rsid w:val="009170BD"/>
    <w:rsid w:val="009171A7"/>
    <w:rsid w:val="0093457B"/>
    <w:rsid w:val="00954A49"/>
    <w:rsid w:val="00971654"/>
    <w:rsid w:val="009A4DFD"/>
    <w:rsid w:val="009B06F5"/>
    <w:rsid w:val="00A05424"/>
    <w:rsid w:val="00A32570"/>
    <w:rsid w:val="00A5519D"/>
    <w:rsid w:val="00A63541"/>
    <w:rsid w:val="00AC4CB7"/>
    <w:rsid w:val="00AE5C08"/>
    <w:rsid w:val="00B03C67"/>
    <w:rsid w:val="00B15730"/>
    <w:rsid w:val="00B1752B"/>
    <w:rsid w:val="00B450F9"/>
    <w:rsid w:val="00B6080A"/>
    <w:rsid w:val="00B76CE6"/>
    <w:rsid w:val="00B76D69"/>
    <w:rsid w:val="00B9674E"/>
    <w:rsid w:val="00BA355A"/>
    <w:rsid w:val="00BB4AF5"/>
    <w:rsid w:val="00BB52F1"/>
    <w:rsid w:val="00BD59A0"/>
    <w:rsid w:val="00BE212D"/>
    <w:rsid w:val="00BF6C29"/>
    <w:rsid w:val="00C163E0"/>
    <w:rsid w:val="00C168F3"/>
    <w:rsid w:val="00C3159A"/>
    <w:rsid w:val="00C31E1B"/>
    <w:rsid w:val="00C32533"/>
    <w:rsid w:val="00C54AB4"/>
    <w:rsid w:val="00C55BFA"/>
    <w:rsid w:val="00C63B02"/>
    <w:rsid w:val="00CA4747"/>
    <w:rsid w:val="00CA5090"/>
    <w:rsid w:val="00CC1A53"/>
    <w:rsid w:val="00CC7097"/>
    <w:rsid w:val="00CD18D0"/>
    <w:rsid w:val="00CE6F97"/>
    <w:rsid w:val="00CF49F0"/>
    <w:rsid w:val="00CF5A05"/>
    <w:rsid w:val="00D04CCE"/>
    <w:rsid w:val="00D144E2"/>
    <w:rsid w:val="00D15427"/>
    <w:rsid w:val="00D23EFE"/>
    <w:rsid w:val="00D243D2"/>
    <w:rsid w:val="00D31C71"/>
    <w:rsid w:val="00D4289C"/>
    <w:rsid w:val="00D70E3F"/>
    <w:rsid w:val="00D750D7"/>
    <w:rsid w:val="00D90866"/>
    <w:rsid w:val="00DC0427"/>
    <w:rsid w:val="00DC28E5"/>
    <w:rsid w:val="00DF1886"/>
    <w:rsid w:val="00E41457"/>
    <w:rsid w:val="00E47E2E"/>
    <w:rsid w:val="00E562EA"/>
    <w:rsid w:val="00E83A0C"/>
    <w:rsid w:val="00E86930"/>
    <w:rsid w:val="00EB6026"/>
    <w:rsid w:val="00EC4009"/>
    <w:rsid w:val="00EC4AF6"/>
    <w:rsid w:val="00ED6128"/>
    <w:rsid w:val="00F17805"/>
    <w:rsid w:val="00F24463"/>
    <w:rsid w:val="00F3513E"/>
    <w:rsid w:val="00F438B5"/>
    <w:rsid w:val="00F61039"/>
    <w:rsid w:val="00F736CC"/>
    <w:rsid w:val="00F8495D"/>
    <w:rsid w:val="00FA1965"/>
    <w:rsid w:val="00FA6676"/>
    <w:rsid w:val="00FB39B0"/>
    <w:rsid w:val="00FB6B3E"/>
    <w:rsid w:val="00FB716E"/>
    <w:rsid w:val="00FE6D2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D2937"/>
  <w15:chartTrackingRefBased/>
  <w15:docId w15:val="{8E04FBB0-2E88-D54B-BCBC-84F1EA303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40B"/>
    <w:pPr>
      <w:jc w:val="center"/>
    </w:pPr>
    <w:rPr>
      <w:rFonts w:ascii="Times New Roman" w:hAnsi="Times New Roman" w:cs="Times New Roman"/>
    </w:rPr>
  </w:style>
  <w:style w:type="paragraph" w:styleId="Heading1">
    <w:name w:val="heading 1"/>
    <w:basedOn w:val="Normal"/>
    <w:next w:val="Normal"/>
    <w:link w:val="Heading1Char"/>
    <w:uiPriority w:val="9"/>
    <w:qFormat/>
    <w:rsid w:val="00603265"/>
    <w:pPr>
      <w:keepNext/>
      <w:jc w:val="left"/>
      <w:outlineLvl w:val="0"/>
    </w:pPr>
    <w:rPr>
      <w:b/>
      <w:bCs/>
    </w:rPr>
  </w:style>
  <w:style w:type="paragraph" w:styleId="Heading2">
    <w:name w:val="heading 2"/>
    <w:basedOn w:val="Normal"/>
    <w:next w:val="Normal"/>
    <w:link w:val="Heading2Char"/>
    <w:uiPriority w:val="9"/>
    <w:semiHidden/>
    <w:unhideWhenUsed/>
    <w:qFormat/>
    <w:rsid w:val="00855A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A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A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A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AC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AC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AC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AC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265"/>
    <w:rPr>
      <w:rFonts w:ascii="Times New Roman" w:hAnsi="Times New Roman" w:cs="Times New Roman"/>
      <w:b/>
      <w:bCs/>
    </w:rPr>
  </w:style>
  <w:style w:type="character" w:customStyle="1" w:styleId="Heading2Char">
    <w:name w:val="Heading 2 Char"/>
    <w:basedOn w:val="DefaultParagraphFont"/>
    <w:link w:val="Heading2"/>
    <w:uiPriority w:val="9"/>
    <w:semiHidden/>
    <w:rsid w:val="00855A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A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A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A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A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A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A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AC2"/>
    <w:rPr>
      <w:rFonts w:eastAsiaTheme="majorEastAsia" w:cstheme="majorBidi"/>
      <w:color w:val="272727" w:themeColor="text1" w:themeTint="D8"/>
    </w:rPr>
  </w:style>
  <w:style w:type="paragraph" w:styleId="Title">
    <w:name w:val="Title"/>
    <w:basedOn w:val="Normal"/>
    <w:next w:val="Normal"/>
    <w:link w:val="TitleChar"/>
    <w:uiPriority w:val="10"/>
    <w:qFormat/>
    <w:rsid w:val="008926DF"/>
    <w:pPr>
      <w:spacing w:before="480" w:after="480"/>
    </w:pPr>
    <w:rPr>
      <w:b/>
      <w:bCs/>
    </w:rPr>
  </w:style>
  <w:style w:type="character" w:customStyle="1" w:styleId="TitleChar">
    <w:name w:val="Title Char"/>
    <w:basedOn w:val="DefaultParagraphFont"/>
    <w:link w:val="Title"/>
    <w:uiPriority w:val="10"/>
    <w:rsid w:val="008926DF"/>
    <w:rPr>
      <w:rFonts w:ascii="Times New Roman" w:hAnsi="Times New Roman" w:cs="Times New Roman"/>
      <w:b/>
      <w:bCs/>
    </w:rPr>
  </w:style>
  <w:style w:type="paragraph" w:styleId="Subtitle">
    <w:name w:val="Subtitle"/>
    <w:basedOn w:val="Normal"/>
    <w:next w:val="Normal"/>
    <w:link w:val="SubtitleChar"/>
    <w:uiPriority w:val="11"/>
    <w:qFormat/>
    <w:rsid w:val="00855AC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A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AC2"/>
    <w:pPr>
      <w:spacing w:before="160" w:after="160"/>
    </w:pPr>
    <w:rPr>
      <w:i/>
      <w:iCs/>
      <w:color w:val="404040" w:themeColor="text1" w:themeTint="BF"/>
    </w:rPr>
  </w:style>
  <w:style w:type="character" w:customStyle="1" w:styleId="QuoteChar">
    <w:name w:val="Quote Char"/>
    <w:basedOn w:val="DefaultParagraphFont"/>
    <w:link w:val="Quote"/>
    <w:uiPriority w:val="29"/>
    <w:rsid w:val="00855AC2"/>
    <w:rPr>
      <w:i/>
      <w:iCs/>
      <w:color w:val="404040" w:themeColor="text1" w:themeTint="BF"/>
    </w:rPr>
  </w:style>
  <w:style w:type="paragraph" w:styleId="ListParagraph">
    <w:name w:val="List Paragraph"/>
    <w:basedOn w:val="Normal"/>
    <w:uiPriority w:val="34"/>
    <w:qFormat/>
    <w:rsid w:val="00855AC2"/>
    <w:pPr>
      <w:ind w:left="720"/>
      <w:contextualSpacing/>
    </w:pPr>
  </w:style>
  <w:style w:type="character" w:styleId="IntenseEmphasis">
    <w:name w:val="Intense Emphasis"/>
    <w:basedOn w:val="DefaultParagraphFont"/>
    <w:uiPriority w:val="21"/>
    <w:qFormat/>
    <w:rsid w:val="00855AC2"/>
    <w:rPr>
      <w:i/>
      <w:iCs/>
      <w:color w:val="0F4761" w:themeColor="accent1" w:themeShade="BF"/>
    </w:rPr>
  </w:style>
  <w:style w:type="paragraph" w:styleId="IntenseQuote">
    <w:name w:val="Intense Quote"/>
    <w:basedOn w:val="Normal"/>
    <w:next w:val="Normal"/>
    <w:link w:val="IntenseQuoteChar"/>
    <w:uiPriority w:val="30"/>
    <w:qFormat/>
    <w:rsid w:val="00855AC2"/>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855AC2"/>
    <w:rPr>
      <w:i/>
      <w:iCs/>
      <w:color w:val="0F4761" w:themeColor="accent1" w:themeShade="BF"/>
    </w:rPr>
  </w:style>
  <w:style w:type="character" w:styleId="IntenseReference">
    <w:name w:val="Intense Reference"/>
    <w:basedOn w:val="DefaultParagraphFont"/>
    <w:uiPriority w:val="32"/>
    <w:qFormat/>
    <w:rsid w:val="00855AC2"/>
    <w:rPr>
      <w:b/>
      <w:bCs/>
      <w:smallCaps/>
      <w:color w:val="0F4761" w:themeColor="accent1" w:themeShade="BF"/>
      <w:spacing w:val="5"/>
    </w:rPr>
  </w:style>
  <w:style w:type="paragraph" w:styleId="NormalWeb">
    <w:name w:val="Normal (Web)"/>
    <w:basedOn w:val="Normal"/>
    <w:uiPriority w:val="99"/>
    <w:semiHidden/>
    <w:unhideWhenUsed/>
    <w:rsid w:val="002449B9"/>
    <w:pPr>
      <w:spacing w:before="100" w:beforeAutospacing="1" w:after="100" w:afterAutospacing="1"/>
      <w:jc w:val="left"/>
    </w:pPr>
    <w:rPr>
      <w:rFonts w:eastAsia="Times New Roman"/>
      <w:kern w:val="0"/>
      <w14:ligatures w14:val="none"/>
    </w:rPr>
  </w:style>
  <w:style w:type="character" w:customStyle="1" w:styleId="apple-converted-space">
    <w:name w:val="apple-converted-space"/>
    <w:basedOn w:val="DefaultParagraphFont"/>
    <w:rsid w:val="002449B9"/>
  </w:style>
  <w:style w:type="character" w:styleId="Hyperlink">
    <w:name w:val="Hyperlink"/>
    <w:basedOn w:val="DefaultParagraphFont"/>
    <w:uiPriority w:val="99"/>
    <w:semiHidden/>
    <w:unhideWhenUsed/>
    <w:rsid w:val="002449B9"/>
    <w:rPr>
      <w:color w:val="0000FF"/>
      <w:u w:val="single"/>
    </w:rPr>
  </w:style>
  <w:style w:type="paragraph" w:styleId="Header">
    <w:name w:val="header"/>
    <w:basedOn w:val="Normal"/>
    <w:link w:val="HeaderChar"/>
    <w:uiPriority w:val="99"/>
    <w:unhideWhenUsed/>
    <w:rsid w:val="00F438B5"/>
    <w:pPr>
      <w:tabs>
        <w:tab w:val="center" w:pos="4513"/>
        <w:tab w:val="right" w:pos="9026"/>
      </w:tabs>
    </w:pPr>
  </w:style>
  <w:style w:type="character" w:customStyle="1" w:styleId="HeaderChar">
    <w:name w:val="Header Char"/>
    <w:basedOn w:val="DefaultParagraphFont"/>
    <w:link w:val="Header"/>
    <w:uiPriority w:val="99"/>
    <w:rsid w:val="00F438B5"/>
    <w:rPr>
      <w:rFonts w:ascii="Times New Roman" w:hAnsi="Times New Roman" w:cs="Times New Roman"/>
    </w:rPr>
  </w:style>
  <w:style w:type="paragraph" w:styleId="Footer">
    <w:name w:val="footer"/>
    <w:basedOn w:val="Normal"/>
    <w:link w:val="FooterChar"/>
    <w:uiPriority w:val="99"/>
    <w:unhideWhenUsed/>
    <w:rsid w:val="00F438B5"/>
    <w:pPr>
      <w:tabs>
        <w:tab w:val="center" w:pos="4513"/>
        <w:tab w:val="right" w:pos="9026"/>
      </w:tabs>
    </w:pPr>
  </w:style>
  <w:style w:type="character" w:customStyle="1" w:styleId="FooterChar">
    <w:name w:val="Footer Char"/>
    <w:basedOn w:val="DefaultParagraphFont"/>
    <w:link w:val="Footer"/>
    <w:uiPriority w:val="99"/>
    <w:rsid w:val="00F438B5"/>
    <w:rPr>
      <w:rFonts w:ascii="Times New Roman" w:hAnsi="Times New Roman" w:cs="Times New Roman"/>
    </w:rPr>
  </w:style>
  <w:style w:type="character" w:styleId="PageNumber">
    <w:name w:val="page number"/>
    <w:basedOn w:val="DefaultParagraphFont"/>
    <w:uiPriority w:val="99"/>
    <w:semiHidden/>
    <w:unhideWhenUsed/>
    <w:rsid w:val="00F438B5"/>
  </w:style>
  <w:style w:type="table" w:styleId="TableGrid">
    <w:name w:val="Table Grid"/>
    <w:basedOn w:val="TableNormal"/>
    <w:uiPriority w:val="39"/>
    <w:rsid w:val="00010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2322217">
      <w:bodyDiv w:val="1"/>
      <w:marLeft w:val="0"/>
      <w:marRight w:val="0"/>
      <w:marTop w:val="0"/>
      <w:marBottom w:val="0"/>
      <w:divBdr>
        <w:top w:val="none" w:sz="0" w:space="0" w:color="auto"/>
        <w:left w:val="none" w:sz="0" w:space="0" w:color="auto"/>
        <w:bottom w:val="none" w:sz="0" w:space="0" w:color="auto"/>
        <w:right w:val="none" w:sz="0" w:space="0" w:color="auto"/>
      </w:divBdr>
      <w:divsChild>
        <w:div w:id="1471634248">
          <w:marLeft w:val="0"/>
          <w:marRight w:val="0"/>
          <w:marTop w:val="0"/>
          <w:marBottom w:val="0"/>
          <w:divBdr>
            <w:top w:val="none" w:sz="0" w:space="0" w:color="auto"/>
            <w:left w:val="none" w:sz="0" w:space="0" w:color="auto"/>
            <w:bottom w:val="none" w:sz="0" w:space="0" w:color="auto"/>
            <w:right w:val="none" w:sz="0" w:space="0" w:color="auto"/>
          </w:divBdr>
          <w:divsChild>
            <w:div w:id="7224650">
              <w:marLeft w:val="0"/>
              <w:marRight w:val="0"/>
              <w:marTop w:val="0"/>
              <w:marBottom w:val="0"/>
              <w:divBdr>
                <w:top w:val="none" w:sz="0" w:space="0" w:color="auto"/>
                <w:left w:val="none" w:sz="0" w:space="0" w:color="auto"/>
                <w:bottom w:val="none" w:sz="0" w:space="0" w:color="auto"/>
                <w:right w:val="none" w:sz="0" w:space="0" w:color="auto"/>
              </w:divBdr>
              <w:divsChild>
                <w:div w:id="20109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523890">
      <w:bodyDiv w:val="1"/>
      <w:marLeft w:val="0"/>
      <w:marRight w:val="0"/>
      <w:marTop w:val="0"/>
      <w:marBottom w:val="0"/>
      <w:divBdr>
        <w:top w:val="none" w:sz="0" w:space="0" w:color="auto"/>
        <w:left w:val="none" w:sz="0" w:space="0" w:color="auto"/>
        <w:bottom w:val="none" w:sz="0" w:space="0" w:color="auto"/>
        <w:right w:val="none" w:sz="0" w:space="0" w:color="auto"/>
      </w:divBdr>
    </w:div>
    <w:div w:id="1382830666">
      <w:bodyDiv w:val="1"/>
      <w:marLeft w:val="0"/>
      <w:marRight w:val="0"/>
      <w:marTop w:val="0"/>
      <w:marBottom w:val="0"/>
      <w:divBdr>
        <w:top w:val="none" w:sz="0" w:space="0" w:color="auto"/>
        <w:left w:val="none" w:sz="0" w:space="0" w:color="auto"/>
        <w:bottom w:val="none" w:sz="0" w:space="0" w:color="auto"/>
        <w:right w:val="none" w:sz="0" w:space="0" w:color="auto"/>
      </w:divBdr>
      <w:divsChild>
        <w:div w:id="568613976">
          <w:marLeft w:val="0"/>
          <w:marRight w:val="0"/>
          <w:marTop w:val="0"/>
          <w:marBottom w:val="0"/>
          <w:divBdr>
            <w:top w:val="none" w:sz="0" w:space="0" w:color="auto"/>
            <w:left w:val="none" w:sz="0" w:space="0" w:color="auto"/>
            <w:bottom w:val="none" w:sz="0" w:space="0" w:color="auto"/>
            <w:right w:val="none" w:sz="0" w:space="0" w:color="auto"/>
          </w:divBdr>
          <w:divsChild>
            <w:div w:id="986280869">
              <w:marLeft w:val="0"/>
              <w:marRight w:val="0"/>
              <w:marTop w:val="0"/>
              <w:marBottom w:val="0"/>
              <w:divBdr>
                <w:top w:val="none" w:sz="0" w:space="0" w:color="auto"/>
                <w:left w:val="none" w:sz="0" w:space="0" w:color="auto"/>
                <w:bottom w:val="none" w:sz="0" w:space="0" w:color="auto"/>
                <w:right w:val="none" w:sz="0" w:space="0" w:color="auto"/>
              </w:divBdr>
              <w:divsChild>
                <w:div w:id="114046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0032493861566"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ulie.goyvaerts@advocaat.b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tel:0032493861566" TargetMode="External"/><Relationship Id="rId4" Type="http://schemas.openxmlformats.org/officeDocument/2006/relationships/webSettings" Target="webSettings.xml"/><Relationship Id="rId9" Type="http://schemas.openxmlformats.org/officeDocument/2006/relationships/hyperlink" Target="mailto:julie.goyvaerts@advocaat.b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2116</Words>
  <Characters>12063</Characters>
  <Application>Microsoft Office Word</Application>
  <DocSecurity>0</DocSecurity>
  <Lines>100</Lines>
  <Paragraphs>28</Paragraphs>
  <ScaleCrop>false</ScaleCrop>
  <Company/>
  <LinksUpToDate>false</LinksUpToDate>
  <CharactersWithSpaces>14151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DOCKX Emmanuel</dc:creator>
  <cp:keywords/>
  <dc:description/>
  <cp:lastModifiedBy>DOCKX Emmanuel</cp:lastModifiedBy>
  <cp:revision>191</cp:revision>
  <dcterms:created xsi:type="dcterms:W3CDTF">2025-01-16T12:16:00Z</dcterms:created>
  <dcterms:modified xsi:type="dcterms:W3CDTF">2025-01-16T20:20:00Z</dcterms:modified>
</cp:coreProperties>
</file>