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7C" w:rsidRPr="002E457C" w:rsidRDefault="002E457C" w:rsidP="00976433">
      <w:pPr>
        <w:ind w:left="567" w:firstLine="0"/>
        <w:contextualSpacing/>
      </w:pPr>
      <w:bookmarkStart w:id="0" w:name="Title_2"/>
      <w:bookmarkStart w:id="1" w:name="_GoBack"/>
      <w:bookmarkEnd w:id="1"/>
    </w:p>
    <w:bookmarkEnd w:id="0"/>
    <w:p w:rsidR="001D244E" w:rsidRPr="002E457C" w:rsidRDefault="009D7680" w:rsidP="00976433">
      <w:pPr>
        <w:pStyle w:val="Title"/>
        <w:ind w:firstLine="0"/>
      </w:pPr>
      <w:r>
        <w:t>Effect of Boundary Conditions</w:t>
      </w:r>
      <w:r w:rsidR="003A3737">
        <w:t xml:space="preserve"> on Dynamic Cone Penetrometer Test</w:t>
      </w:r>
    </w:p>
    <w:p w:rsidR="001D244E" w:rsidRPr="003D4466" w:rsidRDefault="001D244E" w:rsidP="00976433">
      <w:pPr>
        <w:ind w:firstLine="0"/>
        <w:contextualSpacing/>
        <w:jc w:val="center"/>
        <w:rPr>
          <w:sz w:val="22"/>
          <w:szCs w:val="22"/>
        </w:rPr>
      </w:pPr>
    </w:p>
    <w:p w:rsidR="001D244E" w:rsidRPr="003D4466" w:rsidRDefault="003A3737" w:rsidP="00976433">
      <w:pPr>
        <w:ind w:firstLine="0"/>
        <w:contextualSpacing/>
        <w:jc w:val="center"/>
        <w:rPr>
          <w:b/>
          <w:szCs w:val="24"/>
        </w:rPr>
      </w:pPr>
      <w:proofErr w:type="spellStart"/>
      <w:r>
        <w:rPr>
          <w:b/>
          <w:szCs w:val="24"/>
        </w:rPr>
        <w:t>Suppakorn</w:t>
      </w:r>
      <w:proofErr w:type="spellEnd"/>
      <w:r w:rsidR="001D244E">
        <w:rPr>
          <w:b/>
          <w:szCs w:val="24"/>
        </w:rPr>
        <w:t xml:space="preserve"> </w:t>
      </w:r>
      <w:r>
        <w:rPr>
          <w:b/>
          <w:szCs w:val="24"/>
        </w:rPr>
        <w:t>Wachiraporn</w:t>
      </w:r>
      <w:r w:rsidR="001D244E" w:rsidRPr="003D4466">
        <w:rPr>
          <w:b/>
          <w:szCs w:val="24"/>
          <w:vertAlign w:val="superscript"/>
        </w:rPr>
        <w:t>1</w:t>
      </w:r>
      <w:r w:rsidR="001D244E" w:rsidRPr="003D4466"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Auckpath</w:t>
      </w:r>
      <w:proofErr w:type="spellEnd"/>
      <w:r w:rsidR="001D244E">
        <w:rPr>
          <w:b/>
          <w:szCs w:val="24"/>
        </w:rPr>
        <w:t xml:space="preserve"> </w:t>
      </w:r>
      <w:r>
        <w:rPr>
          <w:b/>
          <w:szCs w:val="24"/>
        </w:rPr>
        <w:t>Sawangsuriya</w:t>
      </w:r>
      <w:r w:rsidR="001D244E" w:rsidRPr="003D4466">
        <w:rPr>
          <w:b/>
          <w:szCs w:val="24"/>
          <w:vertAlign w:val="superscript"/>
        </w:rPr>
        <w:t>2</w:t>
      </w:r>
      <w:r w:rsidR="001D244E"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Wilailak</w:t>
      </w:r>
      <w:proofErr w:type="spellEnd"/>
      <w:r w:rsidR="001D244E">
        <w:rPr>
          <w:b/>
          <w:szCs w:val="24"/>
        </w:rPr>
        <w:t xml:space="preserve"> </w:t>
      </w:r>
      <w:r>
        <w:rPr>
          <w:b/>
          <w:szCs w:val="24"/>
        </w:rPr>
        <w:t>Sramoon</w:t>
      </w:r>
      <w:r w:rsidR="00D21B44">
        <w:rPr>
          <w:b/>
          <w:szCs w:val="24"/>
          <w:vertAlign w:val="superscript"/>
        </w:rPr>
        <w:t>1</w:t>
      </w:r>
    </w:p>
    <w:p w:rsidR="00D21B44" w:rsidRDefault="001D244E" w:rsidP="00976433">
      <w:pPr>
        <w:ind w:right="4" w:firstLine="0"/>
        <w:jc w:val="center"/>
        <w:rPr>
          <w:sz w:val="22"/>
          <w:szCs w:val="22"/>
        </w:rPr>
      </w:pPr>
      <w:r w:rsidRPr="0061481D">
        <w:rPr>
          <w:sz w:val="22"/>
          <w:szCs w:val="22"/>
          <w:vertAlign w:val="superscript"/>
        </w:rPr>
        <w:t>1</w:t>
      </w:r>
      <w:r w:rsidR="00DF7A1F">
        <w:rPr>
          <w:sz w:val="22"/>
          <w:szCs w:val="22"/>
        </w:rPr>
        <w:t>Faculty</w:t>
      </w:r>
      <w:r w:rsidR="00D21B44">
        <w:rPr>
          <w:sz w:val="22"/>
          <w:szCs w:val="22"/>
        </w:rPr>
        <w:t xml:space="preserve"> of Engineering, </w:t>
      </w:r>
      <w:proofErr w:type="spellStart"/>
      <w:r w:rsidR="00D21B44">
        <w:rPr>
          <w:sz w:val="22"/>
          <w:szCs w:val="22"/>
        </w:rPr>
        <w:t>Mahanakorn</w:t>
      </w:r>
      <w:proofErr w:type="spellEnd"/>
      <w:r w:rsidR="00D21B44">
        <w:rPr>
          <w:sz w:val="22"/>
          <w:szCs w:val="22"/>
        </w:rPr>
        <w:t xml:space="preserve"> University of Technology</w:t>
      </w:r>
      <w:r w:rsidRPr="0061481D">
        <w:rPr>
          <w:sz w:val="22"/>
          <w:szCs w:val="22"/>
        </w:rPr>
        <w:t xml:space="preserve">, </w:t>
      </w:r>
    </w:p>
    <w:p w:rsidR="001D244E" w:rsidRPr="0061481D" w:rsidRDefault="00D21B44" w:rsidP="00976433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</w:rPr>
        <w:t>Bangkok</w:t>
      </w:r>
      <w:r w:rsidR="001D244E" w:rsidRPr="0061481D">
        <w:rPr>
          <w:sz w:val="22"/>
          <w:szCs w:val="22"/>
        </w:rPr>
        <w:t xml:space="preserve">, </w:t>
      </w:r>
      <w:r>
        <w:rPr>
          <w:sz w:val="22"/>
          <w:szCs w:val="22"/>
        </w:rPr>
        <w:t>Thailand</w:t>
      </w:r>
    </w:p>
    <w:p w:rsidR="001D244E" w:rsidRPr="0061481D" w:rsidRDefault="00D21B44" w:rsidP="00976433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</w:rPr>
        <w:t>wachiraporn08</w:t>
      </w:r>
      <w:r w:rsidR="001D244E" w:rsidRPr="0061481D">
        <w:rPr>
          <w:sz w:val="22"/>
          <w:szCs w:val="22"/>
        </w:rPr>
        <w:t>@</w:t>
      </w:r>
      <w:r>
        <w:rPr>
          <w:sz w:val="22"/>
          <w:szCs w:val="22"/>
        </w:rPr>
        <w:t>gmail.com</w:t>
      </w:r>
      <w:r w:rsidR="001D244E" w:rsidRPr="0061481D">
        <w:rPr>
          <w:sz w:val="22"/>
          <w:szCs w:val="22"/>
        </w:rPr>
        <w:t xml:space="preserve">; </w:t>
      </w:r>
      <w:r>
        <w:rPr>
          <w:sz w:val="22"/>
          <w:szCs w:val="22"/>
        </w:rPr>
        <w:t>sawangsuriya</w:t>
      </w:r>
      <w:r w:rsidR="001D244E" w:rsidRPr="0061481D">
        <w:rPr>
          <w:sz w:val="22"/>
          <w:szCs w:val="22"/>
        </w:rPr>
        <w:t>@</w:t>
      </w:r>
      <w:r>
        <w:rPr>
          <w:sz w:val="22"/>
          <w:szCs w:val="22"/>
        </w:rPr>
        <w:t>gmail.com</w:t>
      </w:r>
    </w:p>
    <w:p w:rsidR="001D244E" w:rsidRPr="0061481D" w:rsidRDefault="00FB4B7C" w:rsidP="00976433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D21B44">
        <w:rPr>
          <w:sz w:val="22"/>
          <w:szCs w:val="22"/>
        </w:rPr>
        <w:t>Bureau of Road Research and Development, Department of Highways</w:t>
      </w:r>
    </w:p>
    <w:p w:rsidR="001D244E" w:rsidRPr="0061481D" w:rsidRDefault="00D21B44" w:rsidP="00976433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</w:rPr>
        <w:t>Bangkok</w:t>
      </w:r>
      <w:r w:rsidR="000E6690" w:rsidRPr="000E6690">
        <w:rPr>
          <w:sz w:val="22"/>
          <w:szCs w:val="22"/>
        </w:rPr>
        <w:t xml:space="preserve">, </w:t>
      </w:r>
      <w:r>
        <w:rPr>
          <w:sz w:val="22"/>
          <w:szCs w:val="22"/>
        </w:rPr>
        <w:t>Thailand</w:t>
      </w:r>
    </w:p>
    <w:p w:rsidR="001D244E" w:rsidRPr="0061481D" w:rsidRDefault="00D21B44" w:rsidP="00976433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</w:rPr>
        <w:t>wilailakk</w:t>
      </w:r>
      <w:r w:rsidR="001D244E" w:rsidRPr="0061481D">
        <w:rPr>
          <w:sz w:val="22"/>
          <w:szCs w:val="22"/>
        </w:rPr>
        <w:t>@</w:t>
      </w:r>
      <w:r>
        <w:rPr>
          <w:sz w:val="22"/>
          <w:szCs w:val="22"/>
        </w:rPr>
        <w:t>gmail.com</w:t>
      </w:r>
    </w:p>
    <w:p w:rsidR="002E457C" w:rsidRPr="000C7419" w:rsidRDefault="002E457C" w:rsidP="00976433">
      <w:pPr>
        <w:ind w:firstLine="0"/>
        <w:contextualSpacing/>
        <w:rPr>
          <w:sz w:val="22"/>
          <w:szCs w:val="22"/>
        </w:rPr>
      </w:pPr>
    </w:p>
    <w:p w:rsidR="002E457C" w:rsidRPr="000C7419" w:rsidRDefault="002E457C" w:rsidP="00976433">
      <w:pPr>
        <w:ind w:left="567" w:firstLine="0"/>
        <w:contextualSpacing/>
        <w:rPr>
          <w:sz w:val="22"/>
          <w:szCs w:val="22"/>
        </w:rPr>
      </w:pPr>
    </w:p>
    <w:p w:rsidR="00A47C1A" w:rsidRPr="002E457C" w:rsidRDefault="00021A6C" w:rsidP="00976433">
      <w:pPr>
        <w:ind w:right="4" w:firstLine="0"/>
      </w:pPr>
      <w:r w:rsidRPr="000C7419">
        <w:rPr>
          <w:rFonts w:ascii="Arial" w:hAnsi="Arial" w:cs="Arial"/>
          <w:b/>
          <w:i/>
          <w:sz w:val="20"/>
        </w:rPr>
        <w:t>Abstract</w:t>
      </w:r>
      <w:r w:rsidR="001D244E">
        <w:rPr>
          <w:b/>
        </w:rPr>
        <w:t xml:space="preserve"> </w:t>
      </w:r>
      <w:r w:rsidRPr="00021A6C">
        <w:rPr>
          <w:b/>
          <w:sz w:val="20"/>
        </w:rPr>
        <w:t>-</w:t>
      </w:r>
      <w:r w:rsidR="001D244E">
        <w:rPr>
          <w:b/>
          <w:sz w:val="20"/>
        </w:rPr>
        <w:t xml:space="preserve"> </w:t>
      </w:r>
      <w:r w:rsidR="007D6929">
        <w:rPr>
          <w:sz w:val="20"/>
        </w:rPr>
        <w:t>This paper investigate</w:t>
      </w:r>
      <w:r w:rsidR="007D6929">
        <w:rPr>
          <w:rFonts w:cs="Angsana New"/>
          <w:sz w:val="20"/>
          <w:szCs w:val="25"/>
          <w:lang w:bidi="th-TH"/>
        </w:rPr>
        <w:t>s</w:t>
      </w:r>
      <w:r w:rsidR="007D6929" w:rsidRPr="00E77512">
        <w:rPr>
          <w:sz w:val="20"/>
        </w:rPr>
        <w:t xml:space="preserve"> the effect of </w:t>
      </w:r>
      <w:r w:rsidR="005E2429">
        <w:rPr>
          <w:sz w:val="20"/>
        </w:rPr>
        <w:t>boundary conditions</w:t>
      </w:r>
      <w:r w:rsidR="007D6929">
        <w:rPr>
          <w:sz w:val="20"/>
        </w:rPr>
        <w:t xml:space="preserve"> on the</w:t>
      </w:r>
      <w:r w:rsidR="007D6929" w:rsidRPr="00E77512">
        <w:rPr>
          <w:sz w:val="20"/>
        </w:rPr>
        <w:t xml:space="preserve"> </w:t>
      </w:r>
      <w:r w:rsidR="007D6929">
        <w:rPr>
          <w:sz w:val="20"/>
        </w:rPr>
        <w:t xml:space="preserve">Dynamic Cone Penetrometer (DCP) </w:t>
      </w:r>
      <w:r w:rsidR="0006758B">
        <w:rPr>
          <w:sz w:val="20"/>
        </w:rPr>
        <w:t>test. Two soil types e.g. sand and lateritic soil</w:t>
      </w:r>
      <w:r w:rsidR="007D6929">
        <w:rPr>
          <w:sz w:val="20"/>
        </w:rPr>
        <w:t xml:space="preserve"> </w:t>
      </w:r>
      <w:r w:rsidR="0006758B">
        <w:rPr>
          <w:sz w:val="20"/>
        </w:rPr>
        <w:t xml:space="preserve">samples </w:t>
      </w:r>
      <w:r w:rsidR="007D6929">
        <w:rPr>
          <w:sz w:val="20"/>
        </w:rPr>
        <w:t>collected from a highway construction site</w:t>
      </w:r>
      <w:r w:rsidR="007D6929" w:rsidRPr="00E77512">
        <w:rPr>
          <w:sz w:val="20"/>
        </w:rPr>
        <w:t xml:space="preserve"> were compacted in the </w:t>
      </w:r>
      <w:r w:rsidR="007D6929">
        <w:rPr>
          <w:sz w:val="20"/>
        </w:rPr>
        <w:t xml:space="preserve">metal </w:t>
      </w:r>
      <w:proofErr w:type="spellStart"/>
      <w:r w:rsidR="007D6929" w:rsidRPr="00E77512">
        <w:rPr>
          <w:sz w:val="20"/>
        </w:rPr>
        <w:t>molds</w:t>
      </w:r>
      <w:proofErr w:type="spellEnd"/>
      <w:r w:rsidR="007D6929" w:rsidRPr="00E77512">
        <w:rPr>
          <w:sz w:val="20"/>
        </w:rPr>
        <w:t xml:space="preserve"> </w:t>
      </w:r>
      <w:r w:rsidR="007D6929">
        <w:rPr>
          <w:sz w:val="20"/>
        </w:rPr>
        <w:t>having</w:t>
      </w:r>
      <w:r w:rsidR="007D6929" w:rsidRPr="00E77512">
        <w:rPr>
          <w:sz w:val="20"/>
        </w:rPr>
        <w:t xml:space="preserve"> diameters </w:t>
      </w:r>
      <w:r w:rsidR="007D6929">
        <w:rPr>
          <w:sz w:val="20"/>
        </w:rPr>
        <w:t xml:space="preserve">of </w:t>
      </w:r>
      <w:r w:rsidR="007D6929" w:rsidRPr="00E77512">
        <w:rPr>
          <w:sz w:val="20"/>
        </w:rPr>
        <w:t xml:space="preserve">150, 200, and </w:t>
      </w:r>
      <w:r w:rsidR="00EE3212">
        <w:rPr>
          <w:sz w:val="20"/>
        </w:rPr>
        <w:t xml:space="preserve">300 mm. These </w:t>
      </w:r>
      <w:r w:rsidR="0006758B">
        <w:rPr>
          <w:sz w:val="20"/>
        </w:rPr>
        <w:t xml:space="preserve">disturbed </w:t>
      </w:r>
      <w:r w:rsidR="00EE3212">
        <w:rPr>
          <w:sz w:val="20"/>
        </w:rPr>
        <w:t xml:space="preserve">samples were </w:t>
      </w:r>
      <w:r w:rsidR="007D6929" w:rsidRPr="00E77512">
        <w:rPr>
          <w:sz w:val="20"/>
        </w:rPr>
        <w:t xml:space="preserve">prepared </w:t>
      </w:r>
      <w:r w:rsidR="007D6929">
        <w:rPr>
          <w:sz w:val="20"/>
        </w:rPr>
        <w:t xml:space="preserve">near </w:t>
      </w:r>
      <w:r w:rsidR="00EE3212">
        <w:rPr>
          <w:sz w:val="20"/>
        </w:rPr>
        <w:t xml:space="preserve">the </w:t>
      </w:r>
      <w:r w:rsidR="007D6929">
        <w:rPr>
          <w:sz w:val="20"/>
        </w:rPr>
        <w:t>optimum moisture content</w:t>
      </w:r>
      <w:r w:rsidR="007D6929" w:rsidRPr="00E77512">
        <w:rPr>
          <w:sz w:val="20"/>
        </w:rPr>
        <w:t xml:space="preserve"> </w:t>
      </w:r>
      <w:r w:rsidR="00C54DAE">
        <w:rPr>
          <w:sz w:val="20"/>
        </w:rPr>
        <w:t>using</w:t>
      </w:r>
      <w:r w:rsidR="009579E6">
        <w:rPr>
          <w:sz w:val="20"/>
        </w:rPr>
        <w:t xml:space="preserve"> a</w:t>
      </w:r>
      <w:r w:rsidR="007D6929" w:rsidRPr="00E77512">
        <w:rPr>
          <w:sz w:val="20"/>
        </w:rPr>
        <w:t xml:space="preserve"> </w:t>
      </w:r>
      <w:r w:rsidR="00AC5CCB">
        <w:rPr>
          <w:sz w:val="20"/>
        </w:rPr>
        <w:t>modified compaction effort</w:t>
      </w:r>
      <w:r w:rsidR="007D6929" w:rsidRPr="00E77512">
        <w:rPr>
          <w:sz w:val="20"/>
        </w:rPr>
        <w:t xml:space="preserve">. </w:t>
      </w:r>
      <w:r w:rsidR="00D73A2A">
        <w:rPr>
          <w:sz w:val="20"/>
        </w:rPr>
        <w:t>Results indicated that t</w:t>
      </w:r>
      <w:r w:rsidR="007D6929" w:rsidRPr="00E77512">
        <w:rPr>
          <w:sz w:val="20"/>
        </w:rPr>
        <w:t xml:space="preserve">he </w:t>
      </w:r>
      <w:r w:rsidR="00EE3212">
        <w:rPr>
          <w:sz w:val="20"/>
        </w:rPr>
        <w:t xml:space="preserve">ratio of </w:t>
      </w:r>
      <w:proofErr w:type="spellStart"/>
      <w:r w:rsidR="00EE3212">
        <w:rPr>
          <w:sz w:val="20"/>
        </w:rPr>
        <w:t>mold</w:t>
      </w:r>
      <w:proofErr w:type="spellEnd"/>
      <w:r w:rsidR="00EE3212">
        <w:rPr>
          <w:sz w:val="20"/>
        </w:rPr>
        <w:t xml:space="preserve">-to-cone diameter </w:t>
      </w:r>
      <w:r w:rsidR="00843761">
        <w:rPr>
          <w:sz w:val="20"/>
        </w:rPr>
        <w:t>for</w:t>
      </w:r>
      <w:r w:rsidR="007D6929" w:rsidRPr="00E77512">
        <w:rPr>
          <w:sz w:val="20"/>
        </w:rPr>
        <w:t xml:space="preserve"> sand </w:t>
      </w:r>
      <w:r w:rsidR="00843761">
        <w:rPr>
          <w:sz w:val="20"/>
        </w:rPr>
        <w:t xml:space="preserve">were higher than that </w:t>
      </w:r>
      <w:r w:rsidR="00D73A2A">
        <w:rPr>
          <w:sz w:val="20"/>
        </w:rPr>
        <w:t>f</w:t>
      </w:r>
      <w:r w:rsidR="00843761">
        <w:rPr>
          <w:sz w:val="20"/>
        </w:rPr>
        <w:t>or</w:t>
      </w:r>
      <w:r w:rsidR="00D73A2A">
        <w:rPr>
          <w:sz w:val="20"/>
        </w:rPr>
        <w:t xml:space="preserve"> </w:t>
      </w:r>
      <w:r w:rsidR="007D6929" w:rsidRPr="00E77512">
        <w:rPr>
          <w:sz w:val="20"/>
        </w:rPr>
        <w:t>lateritic soil</w:t>
      </w:r>
      <w:r w:rsidR="00D73A2A">
        <w:rPr>
          <w:sz w:val="20"/>
        </w:rPr>
        <w:t>. This finding</w:t>
      </w:r>
      <w:r w:rsidR="007D6929" w:rsidRPr="00E77512">
        <w:rPr>
          <w:sz w:val="20"/>
        </w:rPr>
        <w:t xml:space="preserve"> </w:t>
      </w:r>
      <w:r w:rsidR="00D73A2A">
        <w:rPr>
          <w:sz w:val="20"/>
        </w:rPr>
        <w:t xml:space="preserve">was also </w:t>
      </w:r>
      <w:r w:rsidR="00843761">
        <w:rPr>
          <w:sz w:val="20"/>
        </w:rPr>
        <w:t>in good agreement</w:t>
      </w:r>
      <w:r w:rsidR="00AC5CCB">
        <w:rPr>
          <w:sz w:val="20"/>
        </w:rPr>
        <w:t xml:space="preserve"> with other study for a </w:t>
      </w:r>
      <w:r w:rsidR="00D73A2A">
        <w:rPr>
          <w:sz w:val="20"/>
        </w:rPr>
        <w:t xml:space="preserve">similar soil type. </w:t>
      </w:r>
      <w:r w:rsidR="009E2461">
        <w:rPr>
          <w:sz w:val="20"/>
        </w:rPr>
        <w:t xml:space="preserve">Caution must be exercised when testing the DCP in the metal </w:t>
      </w:r>
      <w:proofErr w:type="spellStart"/>
      <w:r w:rsidR="009E2461">
        <w:rPr>
          <w:sz w:val="20"/>
        </w:rPr>
        <w:t>mold</w:t>
      </w:r>
      <w:proofErr w:type="spellEnd"/>
      <w:r w:rsidR="009E2461">
        <w:rPr>
          <w:sz w:val="20"/>
        </w:rPr>
        <w:t xml:space="preserve"> due to the </w:t>
      </w:r>
      <w:r w:rsidR="005E2429">
        <w:rPr>
          <w:sz w:val="20"/>
        </w:rPr>
        <w:t>presence of boundary condition effect</w:t>
      </w:r>
      <w:r w:rsidR="007D6929" w:rsidRPr="00B02924">
        <w:rPr>
          <w:sz w:val="20"/>
        </w:rPr>
        <w:t>.</w:t>
      </w:r>
      <w:r w:rsidR="00BF1067">
        <w:rPr>
          <w:sz w:val="20"/>
        </w:rPr>
        <w:t xml:space="preserve"> Two soil types tested exhibited less significant on boundary condition effect</w:t>
      </w:r>
      <w:r w:rsidR="009E2461">
        <w:rPr>
          <w:sz w:val="20"/>
        </w:rPr>
        <w:t>.</w:t>
      </w:r>
    </w:p>
    <w:p w:rsidR="00A47C1A" w:rsidRPr="000C7419" w:rsidRDefault="00A47C1A" w:rsidP="00976433">
      <w:pPr>
        <w:ind w:firstLine="0"/>
        <w:contextualSpacing/>
        <w:rPr>
          <w:sz w:val="22"/>
          <w:szCs w:val="22"/>
        </w:rPr>
      </w:pPr>
    </w:p>
    <w:p w:rsidR="00374491" w:rsidRDefault="00374491" w:rsidP="00976433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r w:rsidR="00336CE5">
        <w:rPr>
          <w:sz w:val="22"/>
          <w:szCs w:val="22"/>
        </w:rPr>
        <w:t>Dynamic Cone P</w:t>
      </w:r>
      <w:r w:rsidR="005E2429">
        <w:rPr>
          <w:sz w:val="22"/>
          <w:szCs w:val="22"/>
        </w:rPr>
        <w:t>enetrometer, Boundary Condition</w:t>
      </w:r>
      <w:r w:rsidR="00336CE5">
        <w:rPr>
          <w:sz w:val="22"/>
          <w:szCs w:val="22"/>
        </w:rPr>
        <w:t>, Sand, Lateritic Soil</w:t>
      </w:r>
    </w:p>
    <w:p w:rsidR="00C23DFD" w:rsidRPr="007675D9" w:rsidRDefault="00C23DFD" w:rsidP="00976433">
      <w:pPr>
        <w:ind w:firstLine="0"/>
        <w:rPr>
          <w:sz w:val="22"/>
          <w:szCs w:val="22"/>
        </w:rPr>
      </w:pPr>
    </w:p>
    <w:p w:rsidR="00942EA6" w:rsidRPr="000C7419" w:rsidRDefault="00942EA6" w:rsidP="00976433">
      <w:pPr>
        <w:ind w:firstLine="0"/>
        <w:contextualSpacing/>
        <w:mirrorIndents/>
        <w:rPr>
          <w:sz w:val="22"/>
          <w:szCs w:val="22"/>
        </w:rPr>
      </w:pPr>
    </w:p>
    <w:p w:rsidR="00A47C1A" w:rsidRPr="00021A6C" w:rsidRDefault="00A47C1A" w:rsidP="00976433">
      <w:pPr>
        <w:ind w:firstLine="0"/>
        <w:contextualSpacing/>
        <w:mirrorIndents/>
        <w:rPr>
          <w:rFonts w:ascii="Arial" w:hAnsi="Arial" w:cs="Arial"/>
          <w:b/>
        </w:rPr>
      </w:pPr>
      <w:bookmarkStart w:id="2" w:name="_Ref473037328"/>
      <w:r w:rsidRPr="00021A6C">
        <w:rPr>
          <w:rFonts w:ascii="Arial" w:hAnsi="Arial" w:cs="Arial"/>
          <w:b/>
        </w:rPr>
        <w:t>I</w:t>
      </w:r>
      <w:bookmarkEnd w:id="2"/>
      <w:r w:rsidR="00021A6C" w:rsidRPr="00021A6C">
        <w:rPr>
          <w:rFonts w:ascii="Arial" w:hAnsi="Arial" w:cs="Arial"/>
          <w:b/>
        </w:rPr>
        <w:t>ntroduction</w:t>
      </w:r>
    </w:p>
    <w:p w:rsidR="00A47C1A" w:rsidRPr="00BD01EC" w:rsidRDefault="00FC615B" w:rsidP="00BD01EC">
      <w:pPr>
        <w:ind w:firstLine="403"/>
        <w:contextualSpacing/>
        <w:mirrorIndents/>
        <w:rPr>
          <w:sz w:val="22"/>
          <w:szCs w:val="22"/>
        </w:rPr>
      </w:pPr>
      <w:proofErr w:type="spellStart"/>
      <w:r w:rsidRPr="00BD01EC">
        <w:rPr>
          <w:sz w:val="22"/>
          <w:szCs w:val="22"/>
        </w:rPr>
        <w:t>Scala</w:t>
      </w:r>
      <w:proofErr w:type="spellEnd"/>
      <w:r w:rsidRPr="00BD01EC">
        <w:rPr>
          <w:sz w:val="22"/>
          <w:szCs w:val="22"/>
        </w:rPr>
        <w:t xml:space="preserve"> [1] developed the </w:t>
      </w:r>
      <w:proofErr w:type="spellStart"/>
      <w:r w:rsidRPr="00BD01EC">
        <w:rPr>
          <w:sz w:val="22"/>
          <w:szCs w:val="22"/>
        </w:rPr>
        <w:t>Scala</w:t>
      </w:r>
      <w:proofErr w:type="spellEnd"/>
      <w:r w:rsidRPr="00BD01EC">
        <w:rPr>
          <w:sz w:val="22"/>
          <w:szCs w:val="22"/>
        </w:rPr>
        <w:t xml:space="preserve"> penetrometer for assessing in situ California Bearing Ratio (CBR) of cohesive soils</w:t>
      </w:r>
      <w:r w:rsidR="002936DB" w:rsidRPr="00BD01EC">
        <w:rPr>
          <w:sz w:val="22"/>
          <w:szCs w:val="22"/>
        </w:rPr>
        <w:t xml:space="preserve"> for over decades</w:t>
      </w:r>
      <w:r w:rsidRPr="00BD01EC">
        <w:rPr>
          <w:sz w:val="22"/>
          <w:szCs w:val="22"/>
        </w:rPr>
        <w:t xml:space="preserve">. The </w:t>
      </w:r>
      <w:proofErr w:type="spellStart"/>
      <w:r w:rsidRPr="00BD01EC">
        <w:rPr>
          <w:sz w:val="22"/>
          <w:szCs w:val="22"/>
        </w:rPr>
        <w:t>Scala</w:t>
      </w:r>
      <w:proofErr w:type="spellEnd"/>
      <w:r w:rsidRPr="00BD01EC">
        <w:rPr>
          <w:sz w:val="22"/>
          <w:szCs w:val="22"/>
        </w:rPr>
        <w:t xml:space="preserve"> penetrometer </w:t>
      </w:r>
      <w:r w:rsidR="002936DB" w:rsidRPr="00BD01EC">
        <w:rPr>
          <w:sz w:val="22"/>
          <w:szCs w:val="22"/>
        </w:rPr>
        <w:t>evolved into the Dynamic Cone P</w:t>
      </w:r>
      <w:r w:rsidRPr="00BD01EC">
        <w:rPr>
          <w:sz w:val="22"/>
          <w:szCs w:val="22"/>
        </w:rPr>
        <w:t xml:space="preserve">enetrometer (DCP) test for determining in situ CBR and modulus. The DCP </w:t>
      </w:r>
      <w:r w:rsidR="00217ABC" w:rsidRPr="00BD01EC">
        <w:rPr>
          <w:sz w:val="22"/>
          <w:szCs w:val="22"/>
        </w:rPr>
        <w:t>is</w:t>
      </w:r>
      <w:r w:rsidRPr="00BD01EC">
        <w:rPr>
          <w:sz w:val="22"/>
          <w:szCs w:val="22"/>
        </w:rPr>
        <w:t xml:space="preserve"> being used extensively in South Africa, the United Kingdom, the United States, Australia, and many other countries </w:t>
      </w:r>
      <w:r w:rsidR="002936DB" w:rsidRPr="00BD01EC">
        <w:rPr>
          <w:sz w:val="22"/>
          <w:szCs w:val="22"/>
        </w:rPr>
        <w:t>because it is</w:t>
      </w:r>
      <w:r w:rsidR="0050452D" w:rsidRPr="00BD01EC">
        <w:rPr>
          <w:sz w:val="22"/>
          <w:szCs w:val="22"/>
        </w:rPr>
        <w:t xml:space="preserve"> simple, rugged, convenient and</w:t>
      </w:r>
      <w:r w:rsidR="002936DB" w:rsidRPr="00BD01EC">
        <w:rPr>
          <w:sz w:val="22"/>
          <w:szCs w:val="22"/>
        </w:rPr>
        <w:t xml:space="preserve"> economical. </w:t>
      </w:r>
      <w:r w:rsidR="00C35220" w:rsidRPr="00BD01EC">
        <w:rPr>
          <w:color w:val="000000"/>
          <w:sz w:val="22"/>
          <w:szCs w:val="22"/>
        </w:rPr>
        <w:t xml:space="preserve">The DCP </w:t>
      </w:r>
      <w:r w:rsidR="003A5478" w:rsidRPr="00BD01EC">
        <w:rPr>
          <w:color w:val="000000"/>
          <w:sz w:val="22"/>
          <w:szCs w:val="22"/>
        </w:rPr>
        <w:t>has been</w:t>
      </w:r>
      <w:r w:rsidR="00C35220" w:rsidRPr="00BD01EC">
        <w:rPr>
          <w:color w:val="000000"/>
          <w:sz w:val="22"/>
          <w:szCs w:val="22"/>
        </w:rPr>
        <w:t xml:space="preserve"> successfully utilized to measure the </w:t>
      </w:r>
      <w:r w:rsidR="002936DB" w:rsidRPr="00BD01EC">
        <w:rPr>
          <w:sz w:val="22"/>
          <w:szCs w:val="22"/>
        </w:rPr>
        <w:t xml:space="preserve">instantaneous in-place strength index </w:t>
      </w:r>
      <w:r w:rsidR="00C35220" w:rsidRPr="00BD01EC">
        <w:rPr>
          <w:color w:val="000000"/>
          <w:sz w:val="22"/>
          <w:szCs w:val="22"/>
        </w:rPr>
        <w:t xml:space="preserve">of various compacted </w:t>
      </w:r>
      <w:r w:rsidR="003A5478" w:rsidRPr="00BD01EC">
        <w:rPr>
          <w:color w:val="000000"/>
          <w:sz w:val="22"/>
          <w:szCs w:val="22"/>
        </w:rPr>
        <w:t>earthen materials</w:t>
      </w:r>
      <w:r w:rsidR="00C35220" w:rsidRPr="00BD01EC">
        <w:rPr>
          <w:color w:val="000000"/>
          <w:sz w:val="22"/>
          <w:szCs w:val="22"/>
        </w:rPr>
        <w:t xml:space="preserve"> as well as </w:t>
      </w:r>
      <w:r w:rsidR="00C35220" w:rsidRPr="00BD01EC">
        <w:rPr>
          <w:sz w:val="22"/>
          <w:szCs w:val="22"/>
        </w:rPr>
        <w:t xml:space="preserve">exhibit potential for adaptation to earthwork </w:t>
      </w:r>
      <w:r w:rsidR="00C007D0">
        <w:rPr>
          <w:sz w:val="22"/>
          <w:szCs w:val="22"/>
        </w:rPr>
        <w:t xml:space="preserve">quality </w:t>
      </w:r>
      <w:r w:rsidR="00C35220" w:rsidRPr="00BD01EC">
        <w:rPr>
          <w:sz w:val="22"/>
          <w:szCs w:val="22"/>
        </w:rPr>
        <w:t>control</w:t>
      </w:r>
      <w:r w:rsidR="00C35220" w:rsidRPr="00BD01EC">
        <w:rPr>
          <w:color w:val="000000"/>
          <w:sz w:val="22"/>
          <w:szCs w:val="22"/>
        </w:rPr>
        <w:t xml:space="preserve">. </w:t>
      </w:r>
      <w:r w:rsidR="00C35220" w:rsidRPr="00BD01EC">
        <w:rPr>
          <w:sz w:val="22"/>
          <w:szCs w:val="22"/>
        </w:rPr>
        <w:t xml:space="preserve">A number of past studies </w:t>
      </w:r>
      <w:r w:rsidR="00784C29" w:rsidRPr="00BD01EC">
        <w:rPr>
          <w:color w:val="000000"/>
          <w:sz w:val="22"/>
          <w:szCs w:val="22"/>
        </w:rPr>
        <w:t>[</w:t>
      </w:r>
      <w:r w:rsidRPr="00BD01EC">
        <w:rPr>
          <w:color w:val="000000"/>
          <w:sz w:val="22"/>
          <w:szCs w:val="22"/>
        </w:rPr>
        <w:t>2</w:t>
      </w:r>
      <w:r w:rsidR="00C35220" w:rsidRPr="00BD01EC">
        <w:rPr>
          <w:color w:val="000000"/>
          <w:sz w:val="22"/>
          <w:szCs w:val="22"/>
        </w:rPr>
        <w:t>]</w:t>
      </w:r>
      <w:r w:rsidR="00C35220" w:rsidRPr="00BD01EC">
        <w:rPr>
          <w:sz w:val="22"/>
          <w:szCs w:val="22"/>
        </w:rPr>
        <w:t>-</w:t>
      </w:r>
      <w:r w:rsidR="00784C29" w:rsidRPr="00BD01EC">
        <w:rPr>
          <w:color w:val="000000"/>
          <w:sz w:val="22"/>
          <w:szCs w:val="22"/>
        </w:rPr>
        <w:t>[</w:t>
      </w:r>
      <w:r w:rsidR="00ED0214" w:rsidRPr="00BD01EC">
        <w:rPr>
          <w:color w:val="000000"/>
          <w:sz w:val="22"/>
          <w:szCs w:val="22"/>
        </w:rPr>
        <w:t>8</w:t>
      </w:r>
      <w:r w:rsidR="00C35220" w:rsidRPr="00BD01EC">
        <w:rPr>
          <w:color w:val="000000"/>
          <w:sz w:val="22"/>
          <w:szCs w:val="22"/>
        </w:rPr>
        <w:t>]</w:t>
      </w:r>
      <w:r w:rsidR="00C35220" w:rsidRPr="00BD01EC">
        <w:rPr>
          <w:sz w:val="22"/>
          <w:szCs w:val="22"/>
        </w:rPr>
        <w:t xml:space="preserve"> suggested that </w:t>
      </w:r>
      <w:r w:rsidR="00624C07" w:rsidRPr="00BD01EC">
        <w:rPr>
          <w:sz w:val="22"/>
          <w:szCs w:val="22"/>
        </w:rPr>
        <w:t>the</w:t>
      </w:r>
      <w:r w:rsidR="00C35220" w:rsidRPr="00BD01EC">
        <w:rPr>
          <w:sz w:val="22"/>
          <w:szCs w:val="22"/>
        </w:rPr>
        <w:t xml:space="preserve"> DCP can be effectively used in companion with traditional moisture-density measurements in order to enhance the quality control during earthwork construction. The ultimate goals of utilizing the </w:t>
      </w:r>
      <w:r w:rsidR="003A5478" w:rsidRPr="00BD01EC">
        <w:rPr>
          <w:sz w:val="22"/>
          <w:szCs w:val="22"/>
        </w:rPr>
        <w:t xml:space="preserve">DCP with an independent </w:t>
      </w:r>
      <w:r w:rsidR="00C35220" w:rsidRPr="00BD01EC">
        <w:rPr>
          <w:sz w:val="22"/>
          <w:szCs w:val="22"/>
        </w:rPr>
        <w:t xml:space="preserve">moisture-density </w:t>
      </w:r>
      <w:r w:rsidR="003A5478" w:rsidRPr="00BD01EC">
        <w:rPr>
          <w:sz w:val="22"/>
          <w:szCs w:val="22"/>
        </w:rPr>
        <w:t>measurement</w:t>
      </w:r>
      <w:r w:rsidR="00C35220" w:rsidRPr="00BD01EC">
        <w:rPr>
          <w:sz w:val="22"/>
          <w:szCs w:val="22"/>
        </w:rPr>
        <w:t xml:space="preserve"> are to achieve more uniform structural properties as well as to meet typical earthwork compaction acceptance criteria.</w:t>
      </w:r>
    </w:p>
    <w:p w:rsidR="00A47C1A" w:rsidRPr="0006758B" w:rsidRDefault="002B3169" w:rsidP="00BD01EC">
      <w:pPr>
        <w:ind w:firstLine="403"/>
        <w:contextualSpacing/>
        <w:mirrorIndents/>
        <w:rPr>
          <w:sz w:val="22"/>
          <w:szCs w:val="22"/>
        </w:rPr>
      </w:pPr>
      <w:r w:rsidRPr="0006758B">
        <w:rPr>
          <w:sz w:val="22"/>
          <w:szCs w:val="22"/>
        </w:rPr>
        <w:t>Although the DCP test can be conducted in laboratory and field, the results from the laboratory and the field can be different due to their boundary conditions</w:t>
      </w:r>
      <w:r w:rsidR="00EB6008">
        <w:rPr>
          <w:sz w:val="22"/>
          <w:szCs w:val="22"/>
        </w:rPr>
        <w:t xml:space="preserve"> and </w:t>
      </w:r>
      <w:proofErr w:type="spellStart"/>
      <w:r w:rsidR="00EB6008">
        <w:rPr>
          <w:sz w:val="22"/>
          <w:szCs w:val="22"/>
        </w:rPr>
        <w:t>mold</w:t>
      </w:r>
      <w:proofErr w:type="spellEnd"/>
      <w:r w:rsidR="00EB6008">
        <w:rPr>
          <w:sz w:val="22"/>
          <w:szCs w:val="22"/>
        </w:rPr>
        <w:t xml:space="preserve"> effects</w:t>
      </w:r>
      <w:r w:rsidR="003B431A">
        <w:rPr>
          <w:sz w:val="22"/>
          <w:szCs w:val="22"/>
        </w:rPr>
        <w:t xml:space="preserve"> [9]-</w:t>
      </w:r>
      <w:r w:rsidR="00942D5A">
        <w:rPr>
          <w:sz w:val="22"/>
          <w:szCs w:val="22"/>
        </w:rPr>
        <w:t>[</w:t>
      </w:r>
      <w:r w:rsidR="00EB6008">
        <w:rPr>
          <w:sz w:val="22"/>
          <w:szCs w:val="22"/>
        </w:rPr>
        <w:t>1</w:t>
      </w:r>
      <w:r w:rsidR="00C10E8A">
        <w:rPr>
          <w:sz w:val="22"/>
          <w:szCs w:val="22"/>
        </w:rPr>
        <w:t>3</w:t>
      </w:r>
      <w:r w:rsidR="00942D5A">
        <w:rPr>
          <w:sz w:val="22"/>
          <w:szCs w:val="22"/>
        </w:rPr>
        <w:t>]</w:t>
      </w:r>
      <w:r w:rsidRPr="0006758B">
        <w:rPr>
          <w:sz w:val="22"/>
          <w:szCs w:val="22"/>
        </w:rPr>
        <w:t xml:space="preserve">. </w:t>
      </w:r>
      <w:r w:rsidR="00617CF8" w:rsidRPr="0006758B">
        <w:rPr>
          <w:sz w:val="22"/>
          <w:szCs w:val="22"/>
        </w:rPr>
        <w:t>This study investigate</w:t>
      </w:r>
      <w:r w:rsidR="00617CF8" w:rsidRPr="0006758B">
        <w:rPr>
          <w:rFonts w:cs="Angsana New"/>
          <w:sz w:val="22"/>
          <w:szCs w:val="22"/>
          <w:lang w:bidi="th-TH"/>
        </w:rPr>
        <w:t>s</w:t>
      </w:r>
      <w:r w:rsidR="00617CF8" w:rsidRPr="0006758B">
        <w:rPr>
          <w:sz w:val="22"/>
          <w:szCs w:val="22"/>
        </w:rPr>
        <w:t xml:space="preserve"> the effect of </w:t>
      </w:r>
      <w:r w:rsidR="005E2429">
        <w:rPr>
          <w:sz w:val="22"/>
          <w:szCs w:val="22"/>
        </w:rPr>
        <w:t>boundary conditions</w:t>
      </w:r>
      <w:r w:rsidR="00617CF8" w:rsidRPr="0006758B">
        <w:rPr>
          <w:sz w:val="22"/>
          <w:szCs w:val="22"/>
        </w:rPr>
        <w:t xml:space="preserve"> on the DCP test.</w:t>
      </w:r>
      <w:r w:rsidR="00FD7E59" w:rsidRPr="0006758B">
        <w:rPr>
          <w:sz w:val="22"/>
          <w:szCs w:val="22"/>
        </w:rPr>
        <w:t xml:space="preserve"> A series of DCP test were performed on two soil types </w:t>
      </w:r>
      <w:r w:rsidR="0006758B">
        <w:rPr>
          <w:sz w:val="22"/>
          <w:szCs w:val="22"/>
        </w:rPr>
        <w:t>(e.g. sand and later</w:t>
      </w:r>
      <w:r w:rsidR="00C007D0">
        <w:rPr>
          <w:sz w:val="22"/>
          <w:szCs w:val="22"/>
        </w:rPr>
        <w:t>itic soil) in</w:t>
      </w:r>
      <w:r w:rsidR="00FD7E59" w:rsidRPr="0006758B">
        <w:rPr>
          <w:sz w:val="22"/>
          <w:szCs w:val="22"/>
        </w:rPr>
        <w:t xml:space="preserve"> the metal </w:t>
      </w:r>
      <w:proofErr w:type="spellStart"/>
      <w:r w:rsidR="00FD7E59" w:rsidRPr="0006758B">
        <w:rPr>
          <w:sz w:val="22"/>
          <w:szCs w:val="22"/>
        </w:rPr>
        <w:t>mold</w:t>
      </w:r>
      <w:proofErr w:type="spellEnd"/>
      <w:r w:rsidR="00FD3D82">
        <w:rPr>
          <w:sz w:val="22"/>
          <w:szCs w:val="22"/>
        </w:rPr>
        <w:t xml:space="preserve"> having</w:t>
      </w:r>
      <w:r w:rsidR="00FD7E59" w:rsidRPr="0006758B">
        <w:rPr>
          <w:sz w:val="22"/>
          <w:szCs w:val="22"/>
        </w:rPr>
        <w:t xml:space="preserve"> diameters of 150, 200, and 300 mm. </w:t>
      </w:r>
      <w:r w:rsidR="005F6B10" w:rsidRPr="0006758B">
        <w:rPr>
          <w:sz w:val="22"/>
          <w:szCs w:val="22"/>
        </w:rPr>
        <w:t xml:space="preserve">All samples were compacted near the optimum moisture content </w:t>
      </w:r>
      <w:r w:rsidR="00C54DAE">
        <w:rPr>
          <w:sz w:val="22"/>
          <w:szCs w:val="22"/>
        </w:rPr>
        <w:t>using</w:t>
      </w:r>
      <w:r w:rsidR="005F6B10" w:rsidRPr="0006758B">
        <w:rPr>
          <w:sz w:val="22"/>
          <w:szCs w:val="22"/>
        </w:rPr>
        <w:t xml:space="preserve"> a modified compaction effort. </w:t>
      </w:r>
      <w:r w:rsidR="00C54DAE">
        <w:rPr>
          <w:sz w:val="22"/>
          <w:szCs w:val="22"/>
        </w:rPr>
        <w:t xml:space="preserve">The effect of </w:t>
      </w:r>
      <w:proofErr w:type="spellStart"/>
      <w:r w:rsidR="00C54DAE">
        <w:rPr>
          <w:sz w:val="22"/>
          <w:szCs w:val="22"/>
        </w:rPr>
        <w:t>mold</w:t>
      </w:r>
      <w:proofErr w:type="spellEnd"/>
      <w:r w:rsidR="00C54DAE">
        <w:rPr>
          <w:sz w:val="22"/>
          <w:szCs w:val="22"/>
        </w:rPr>
        <w:t xml:space="preserve"> size on DCP test data </w:t>
      </w:r>
      <w:r w:rsidR="00F348E8">
        <w:rPr>
          <w:sz w:val="22"/>
          <w:szCs w:val="22"/>
        </w:rPr>
        <w:t>f</w:t>
      </w:r>
      <w:r w:rsidR="00EA2869">
        <w:rPr>
          <w:sz w:val="22"/>
          <w:szCs w:val="22"/>
        </w:rPr>
        <w:t xml:space="preserve">or both sand and lateritic soil </w:t>
      </w:r>
      <w:r w:rsidR="00F348E8">
        <w:rPr>
          <w:sz w:val="22"/>
          <w:szCs w:val="22"/>
        </w:rPr>
        <w:t>samples</w:t>
      </w:r>
      <w:r w:rsidR="0006758B">
        <w:rPr>
          <w:sz w:val="22"/>
          <w:szCs w:val="22"/>
        </w:rPr>
        <w:t xml:space="preserve"> </w:t>
      </w:r>
      <w:r w:rsidR="00C54DAE">
        <w:rPr>
          <w:sz w:val="22"/>
          <w:szCs w:val="22"/>
        </w:rPr>
        <w:t xml:space="preserve">were investigated </w:t>
      </w:r>
      <w:r w:rsidR="0006758B">
        <w:rPr>
          <w:sz w:val="22"/>
          <w:szCs w:val="22"/>
        </w:rPr>
        <w:t xml:space="preserve">and compared with </w:t>
      </w:r>
      <w:r w:rsidR="00F64C09">
        <w:rPr>
          <w:sz w:val="22"/>
          <w:szCs w:val="22"/>
        </w:rPr>
        <w:t>other study for a similar soil type.</w:t>
      </w:r>
      <w:r w:rsidR="00FD7E59" w:rsidRPr="0006758B">
        <w:rPr>
          <w:sz w:val="22"/>
          <w:szCs w:val="22"/>
        </w:rPr>
        <w:t xml:space="preserve"> </w:t>
      </w:r>
    </w:p>
    <w:p w:rsidR="00A47C1A" w:rsidRPr="00942EA6" w:rsidRDefault="00A47C1A" w:rsidP="006D4F5A">
      <w:pPr>
        <w:ind w:firstLine="397"/>
        <w:contextualSpacing/>
        <w:mirrorIndents/>
        <w:rPr>
          <w:sz w:val="22"/>
          <w:szCs w:val="22"/>
        </w:rPr>
      </w:pPr>
    </w:p>
    <w:p w:rsidR="00D115B4" w:rsidRDefault="00D115B4" w:rsidP="00976433">
      <w:pPr>
        <w:ind w:firstLine="0"/>
        <w:contextualSpacing/>
        <w:mirrorIndents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Materials</w:t>
      </w:r>
      <w:r w:rsidR="00F352B0">
        <w:rPr>
          <w:rFonts w:ascii="Arial" w:hAnsi="Arial" w:cs="Arial"/>
          <w:b/>
          <w:szCs w:val="24"/>
        </w:rPr>
        <w:t xml:space="preserve"> and Method</w:t>
      </w:r>
    </w:p>
    <w:p w:rsidR="00D115B4" w:rsidRDefault="00DB1761" w:rsidP="00F348E8">
      <w:pPr>
        <w:ind w:firstLine="403"/>
        <w:contextualSpacing/>
        <w:mirrorIndents/>
        <w:rPr>
          <w:sz w:val="22"/>
          <w:szCs w:val="22"/>
        </w:rPr>
      </w:pPr>
      <w:r w:rsidRPr="00DB1761">
        <w:rPr>
          <w:sz w:val="22"/>
          <w:szCs w:val="22"/>
        </w:rPr>
        <w:t xml:space="preserve">Disturbed samples were collected from a highway construction site in the western part of Thailand. </w:t>
      </w:r>
      <w:r w:rsidR="000A1E53">
        <w:rPr>
          <w:sz w:val="22"/>
          <w:szCs w:val="22"/>
        </w:rPr>
        <w:t xml:space="preserve">Details were described in </w:t>
      </w:r>
      <w:proofErr w:type="spellStart"/>
      <w:r w:rsidR="000A1E53">
        <w:rPr>
          <w:sz w:val="22"/>
          <w:szCs w:val="22"/>
        </w:rPr>
        <w:t>Sawangsuriya</w:t>
      </w:r>
      <w:proofErr w:type="spellEnd"/>
      <w:r w:rsidR="000A1E53">
        <w:rPr>
          <w:sz w:val="22"/>
          <w:szCs w:val="22"/>
        </w:rPr>
        <w:t xml:space="preserve"> et al. [14]. </w:t>
      </w:r>
      <w:r w:rsidRPr="00DB1761">
        <w:rPr>
          <w:sz w:val="22"/>
          <w:szCs w:val="22"/>
        </w:rPr>
        <w:t>Their basic properties, classification, and compaction character</w:t>
      </w:r>
      <w:r w:rsidR="00BD27C0">
        <w:rPr>
          <w:sz w:val="22"/>
          <w:szCs w:val="22"/>
        </w:rPr>
        <w:t>istics are summarized in Table 1</w:t>
      </w:r>
      <w:r w:rsidRPr="00DB1761">
        <w:rPr>
          <w:sz w:val="22"/>
          <w:szCs w:val="22"/>
        </w:rPr>
        <w:t xml:space="preserve">. </w:t>
      </w:r>
      <w:r w:rsidR="00AC5CCB">
        <w:rPr>
          <w:sz w:val="22"/>
          <w:szCs w:val="22"/>
        </w:rPr>
        <w:t>The sample</w:t>
      </w:r>
      <w:r w:rsidRPr="00DB1761">
        <w:rPr>
          <w:sz w:val="22"/>
          <w:szCs w:val="22"/>
        </w:rPr>
        <w:t xml:space="preserve">s were compacted in </w:t>
      </w:r>
      <w:r w:rsidR="00AC5CCB">
        <w:rPr>
          <w:sz w:val="22"/>
          <w:szCs w:val="22"/>
        </w:rPr>
        <w:t xml:space="preserve">the </w:t>
      </w:r>
      <w:r w:rsidRPr="00DB1761">
        <w:rPr>
          <w:sz w:val="22"/>
          <w:szCs w:val="22"/>
        </w:rPr>
        <w:t xml:space="preserve">175-mm high </w:t>
      </w:r>
      <w:r w:rsidR="00AC5CCB">
        <w:rPr>
          <w:sz w:val="22"/>
          <w:szCs w:val="22"/>
        </w:rPr>
        <w:t xml:space="preserve">metal </w:t>
      </w:r>
      <w:proofErr w:type="spellStart"/>
      <w:r w:rsidR="00AC5CCB">
        <w:rPr>
          <w:sz w:val="22"/>
          <w:szCs w:val="22"/>
        </w:rPr>
        <w:t>molds</w:t>
      </w:r>
      <w:proofErr w:type="spellEnd"/>
      <w:r w:rsidR="00AC5CCB">
        <w:rPr>
          <w:sz w:val="22"/>
          <w:szCs w:val="22"/>
        </w:rPr>
        <w:t xml:space="preserve"> having diameters of </w:t>
      </w:r>
      <w:r w:rsidRPr="00DB1761">
        <w:rPr>
          <w:sz w:val="22"/>
          <w:szCs w:val="22"/>
        </w:rPr>
        <w:t>150, 200, and 300 mm</w:t>
      </w:r>
      <w:r w:rsidR="00AC5CCB">
        <w:rPr>
          <w:sz w:val="22"/>
          <w:szCs w:val="22"/>
        </w:rPr>
        <w:t>. Each sample</w:t>
      </w:r>
      <w:r w:rsidRPr="00DB1761">
        <w:rPr>
          <w:sz w:val="22"/>
          <w:szCs w:val="22"/>
        </w:rPr>
        <w:t xml:space="preserve"> was compacted in five layers </w:t>
      </w:r>
      <w:r w:rsidR="009579E6">
        <w:rPr>
          <w:sz w:val="22"/>
          <w:szCs w:val="22"/>
        </w:rPr>
        <w:t xml:space="preserve">near the </w:t>
      </w:r>
      <w:r w:rsidRPr="00DB1761">
        <w:rPr>
          <w:sz w:val="22"/>
          <w:szCs w:val="22"/>
        </w:rPr>
        <w:t>optimum moisture content</w:t>
      </w:r>
      <w:r w:rsidR="00962772">
        <w:rPr>
          <w:sz w:val="22"/>
          <w:szCs w:val="22"/>
        </w:rPr>
        <w:t xml:space="preserve"> </w:t>
      </w:r>
      <w:r w:rsidR="006C3897">
        <w:rPr>
          <w:sz w:val="22"/>
          <w:szCs w:val="22"/>
        </w:rPr>
        <w:t>using</w:t>
      </w:r>
      <w:r w:rsidR="00AC5CCB" w:rsidRPr="00DB1761">
        <w:rPr>
          <w:sz w:val="22"/>
          <w:szCs w:val="22"/>
        </w:rPr>
        <w:t xml:space="preserve"> </w:t>
      </w:r>
      <w:r w:rsidR="009579E6">
        <w:rPr>
          <w:sz w:val="22"/>
          <w:szCs w:val="22"/>
        </w:rPr>
        <w:t xml:space="preserve">a </w:t>
      </w:r>
      <w:r w:rsidR="00AC5CCB" w:rsidRPr="00DB1761">
        <w:rPr>
          <w:sz w:val="22"/>
          <w:szCs w:val="22"/>
        </w:rPr>
        <w:t xml:space="preserve">modified </w:t>
      </w:r>
      <w:r w:rsidR="009579E6">
        <w:rPr>
          <w:sz w:val="22"/>
          <w:szCs w:val="22"/>
        </w:rPr>
        <w:t>compaction effort</w:t>
      </w:r>
      <w:r w:rsidRPr="00DB1761">
        <w:rPr>
          <w:sz w:val="22"/>
          <w:szCs w:val="22"/>
        </w:rPr>
        <w:t xml:space="preserve">. The </w:t>
      </w:r>
      <w:r w:rsidR="007A3085">
        <w:rPr>
          <w:sz w:val="22"/>
          <w:szCs w:val="22"/>
        </w:rPr>
        <w:t xml:space="preserve">total </w:t>
      </w:r>
      <w:r w:rsidRPr="00DB1761">
        <w:rPr>
          <w:sz w:val="22"/>
          <w:szCs w:val="22"/>
        </w:rPr>
        <w:t>number of blows, e.g. 25, 45, and 100 blows</w:t>
      </w:r>
      <w:r w:rsidR="007A3085">
        <w:rPr>
          <w:sz w:val="22"/>
          <w:szCs w:val="22"/>
        </w:rPr>
        <w:t xml:space="preserve"> per layer</w:t>
      </w:r>
      <w:r w:rsidRPr="00DB1761">
        <w:rPr>
          <w:sz w:val="22"/>
          <w:szCs w:val="22"/>
        </w:rPr>
        <w:t xml:space="preserve"> were </w:t>
      </w:r>
      <w:r w:rsidR="00204581">
        <w:rPr>
          <w:sz w:val="22"/>
          <w:szCs w:val="22"/>
        </w:rPr>
        <w:t xml:space="preserve">respectively </w:t>
      </w:r>
      <w:r w:rsidRPr="00DB1761">
        <w:rPr>
          <w:sz w:val="22"/>
          <w:szCs w:val="22"/>
        </w:rPr>
        <w:t>applied for the 150</w:t>
      </w:r>
      <w:r w:rsidR="009579E6">
        <w:rPr>
          <w:sz w:val="22"/>
          <w:szCs w:val="22"/>
        </w:rPr>
        <w:t>-</w:t>
      </w:r>
      <w:r w:rsidRPr="00DB1761">
        <w:rPr>
          <w:sz w:val="22"/>
          <w:szCs w:val="22"/>
        </w:rPr>
        <w:t>, 200</w:t>
      </w:r>
      <w:r w:rsidR="009579E6">
        <w:rPr>
          <w:sz w:val="22"/>
          <w:szCs w:val="22"/>
        </w:rPr>
        <w:t>-, and 300-</w:t>
      </w:r>
      <w:r w:rsidRPr="00DB1761">
        <w:rPr>
          <w:sz w:val="22"/>
          <w:szCs w:val="22"/>
        </w:rPr>
        <w:t xml:space="preserve">mm diameter </w:t>
      </w:r>
      <w:proofErr w:type="spellStart"/>
      <w:r w:rsidRPr="00DB1761">
        <w:rPr>
          <w:sz w:val="22"/>
          <w:szCs w:val="22"/>
        </w:rPr>
        <w:t>mold</w:t>
      </w:r>
      <w:r w:rsidR="009579E6">
        <w:rPr>
          <w:sz w:val="22"/>
          <w:szCs w:val="22"/>
        </w:rPr>
        <w:t>s</w:t>
      </w:r>
      <w:proofErr w:type="spellEnd"/>
      <w:r w:rsidRPr="00DB1761">
        <w:rPr>
          <w:sz w:val="22"/>
          <w:szCs w:val="22"/>
        </w:rPr>
        <w:t>.</w:t>
      </w:r>
    </w:p>
    <w:p w:rsidR="009579E6" w:rsidRPr="00962772" w:rsidRDefault="00B874F4" w:rsidP="00F348E8">
      <w:pPr>
        <w:ind w:firstLine="403"/>
        <w:contextualSpacing/>
        <w:mirrorIndents/>
        <w:rPr>
          <w:sz w:val="22"/>
          <w:szCs w:val="22"/>
        </w:rPr>
      </w:pPr>
      <w:r w:rsidRPr="00962772">
        <w:rPr>
          <w:sz w:val="22"/>
          <w:szCs w:val="22"/>
        </w:rPr>
        <w:t xml:space="preserve">The </w:t>
      </w:r>
      <w:r w:rsidR="006C3897">
        <w:rPr>
          <w:sz w:val="22"/>
          <w:szCs w:val="22"/>
        </w:rPr>
        <w:t>DCP</w:t>
      </w:r>
      <w:r w:rsidRPr="00962772">
        <w:rPr>
          <w:sz w:val="22"/>
          <w:szCs w:val="22"/>
        </w:rPr>
        <w:t xml:space="preserve"> (ASTM D6951</w:t>
      </w:r>
      <w:r w:rsidR="000A1E53">
        <w:rPr>
          <w:sz w:val="22"/>
          <w:szCs w:val="22"/>
        </w:rPr>
        <w:t xml:space="preserve"> [15</w:t>
      </w:r>
      <w:r w:rsidR="00AA6043">
        <w:rPr>
          <w:sz w:val="22"/>
          <w:szCs w:val="22"/>
        </w:rPr>
        <w:t>]</w:t>
      </w:r>
      <w:r w:rsidRPr="00962772">
        <w:rPr>
          <w:sz w:val="22"/>
          <w:szCs w:val="22"/>
        </w:rPr>
        <w:t xml:space="preserve">) </w:t>
      </w:r>
      <w:r w:rsidR="00962772">
        <w:rPr>
          <w:sz w:val="22"/>
          <w:szCs w:val="22"/>
        </w:rPr>
        <w:t>wa</w:t>
      </w:r>
      <w:r w:rsidRPr="00962772">
        <w:rPr>
          <w:sz w:val="22"/>
          <w:szCs w:val="22"/>
        </w:rPr>
        <w:t xml:space="preserve">s used for measuring the material resistance to penetration in terms of millimetres per blow while the cone of the device is being driven into the </w:t>
      </w:r>
      <w:r w:rsidR="00962772" w:rsidRPr="00962772">
        <w:rPr>
          <w:sz w:val="22"/>
          <w:szCs w:val="22"/>
        </w:rPr>
        <w:t xml:space="preserve">soil sample compacted in the </w:t>
      </w:r>
      <w:proofErr w:type="spellStart"/>
      <w:r w:rsidR="00962772" w:rsidRPr="00962772">
        <w:rPr>
          <w:sz w:val="22"/>
          <w:szCs w:val="22"/>
        </w:rPr>
        <w:t>molds</w:t>
      </w:r>
      <w:proofErr w:type="spellEnd"/>
      <w:r w:rsidR="006C3897">
        <w:rPr>
          <w:sz w:val="22"/>
          <w:szCs w:val="22"/>
        </w:rPr>
        <w:t>. It</w:t>
      </w:r>
      <w:r w:rsidRPr="00962772">
        <w:rPr>
          <w:sz w:val="22"/>
          <w:szCs w:val="22"/>
        </w:rPr>
        <w:t xml:space="preserve"> consists of an 8-kg hammer that drops over a height of 575 mm, </w:t>
      </w:r>
      <w:r w:rsidR="00B434D6">
        <w:rPr>
          <w:sz w:val="22"/>
          <w:szCs w:val="22"/>
        </w:rPr>
        <w:t xml:space="preserve">strikes an anvil, </w:t>
      </w:r>
      <w:r w:rsidRPr="00962772">
        <w:rPr>
          <w:sz w:val="22"/>
          <w:szCs w:val="22"/>
        </w:rPr>
        <w:t xml:space="preserve">and drives a 60-degree 20-mm-base diameter cone tip </w:t>
      </w:r>
      <w:r w:rsidRPr="00962772">
        <w:rPr>
          <w:sz w:val="22"/>
          <w:szCs w:val="22"/>
        </w:rPr>
        <w:lastRenderedPageBreak/>
        <w:t xml:space="preserve">vertically into the </w:t>
      </w:r>
      <w:r w:rsidR="00962772" w:rsidRPr="00962772">
        <w:rPr>
          <w:sz w:val="22"/>
          <w:szCs w:val="22"/>
        </w:rPr>
        <w:t>soil</w:t>
      </w:r>
      <w:r w:rsidRPr="00962772">
        <w:rPr>
          <w:sz w:val="22"/>
          <w:szCs w:val="22"/>
        </w:rPr>
        <w:t>. The steel rod to which the cone is attached has a smaller diameter t</w:t>
      </w:r>
      <w:smartTag w:uri="urn:schemas-microsoft-com:office:smarttags" w:element="PersonName">
        <w:r w:rsidRPr="00962772">
          <w:rPr>
            <w:sz w:val="22"/>
            <w:szCs w:val="22"/>
          </w:rPr>
          <w:t>han</w:t>
        </w:r>
      </w:smartTag>
      <w:r w:rsidRPr="00962772">
        <w:rPr>
          <w:sz w:val="22"/>
          <w:szCs w:val="22"/>
        </w:rPr>
        <w:t xml:space="preserve"> the cone (16 mm) to reduce skin friction. The nu</w:t>
      </w:r>
      <w:r w:rsidR="00962772">
        <w:rPr>
          <w:sz w:val="22"/>
          <w:szCs w:val="22"/>
        </w:rPr>
        <w:t>mber of blows during operation wa</w:t>
      </w:r>
      <w:r w:rsidRPr="00962772">
        <w:rPr>
          <w:sz w:val="22"/>
          <w:szCs w:val="22"/>
        </w:rPr>
        <w:t xml:space="preserve">s recorded with depth of penetration. The slope of the relationship between </w:t>
      </w:r>
      <w:r w:rsidR="00A8176D">
        <w:rPr>
          <w:sz w:val="22"/>
          <w:szCs w:val="22"/>
        </w:rPr>
        <w:t xml:space="preserve">cumulative </w:t>
      </w:r>
      <w:r w:rsidRPr="00962772">
        <w:rPr>
          <w:sz w:val="22"/>
          <w:szCs w:val="22"/>
        </w:rPr>
        <w:t>number of blows and penetration a</w:t>
      </w:r>
      <w:r w:rsidR="00962772">
        <w:rPr>
          <w:sz w:val="22"/>
          <w:szCs w:val="22"/>
        </w:rPr>
        <w:t>t a given linear depth segment wa</w:t>
      </w:r>
      <w:r w:rsidR="000C046D">
        <w:rPr>
          <w:sz w:val="22"/>
          <w:szCs w:val="22"/>
        </w:rPr>
        <w:t>s recorded as DCP Penetration I</w:t>
      </w:r>
      <w:r w:rsidRPr="00962772">
        <w:rPr>
          <w:sz w:val="22"/>
          <w:szCs w:val="22"/>
        </w:rPr>
        <w:t>ndex (DPI)</w:t>
      </w:r>
      <w:r w:rsidR="000C046D">
        <w:rPr>
          <w:sz w:val="22"/>
          <w:szCs w:val="22"/>
        </w:rPr>
        <w:t xml:space="preserve"> </w:t>
      </w:r>
      <w:r w:rsidR="00686280">
        <w:rPr>
          <w:sz w:val="22"/>
          <w:szCs w:val="22"/>
        </w:rPr>
        <w:t>(</w:t>
      </w:r>
      <w:r w:rsidR="000C046D">
        <w:rPr>
          <w:sz w:val="22"/>
          <w:szCs w:val="22"/>
        </w:rPr>
        <w:t xml:space="preserve">in </w:t>
      </w:r>
      <w:proofErr w:type="spellStart"/>
      <w:r w:rsidR="000C046D">
        <w:rPr>
          <w:sz w:val="22"/>
          <w:szCs w:val="22"/>
        </w:rPr>
        <w:t>millimeters</w:t>
      </w:r>
      <w:proofErr w:type="spellEnd"/>
      <w:r w:rsidR="000C046D">
        <w:rPr>
          <w:sz w:val="22"/>
          <w:szCs w:val="22"/>
        </w:rPr>
        <w:t xml:space="preserve"> per blow</w:t>
      </w:r>
      <w:r w:rsidR="00686280">
        <w:rPr>
          <w:sz w:val="22"/>
          <w:szCs w:val="22"/>
        </w:rPr>
        <w:t>)</w:t>
      </w:r>
      <w:r w:rsidRPr="00962772">
        <w:rPr>
          <w:sz w:val="22"/>
          <w:szCs w:val="22"/>
        </w:rPr>
        <w:t>.</w:t>
      </w:r>
      <w:r w:rsidR="00962772">
        <w:rPr>
          <w:sz w:val="22"/>
          <w:szCs w:val="22"/>
        </w:rPr>
        <w:t xml:space="preserve"> In this study, </w:t>
      </w:r>
      <w:r w:rsidR="00997B8E">
        <w:rPr>
          <w:sz w:val="22"/>
          <w:szCs w:val="22"/>
        </w:rPr>
        <w:t xml:space="preserve">the penetration was recorded for each blow until the cone penetrated the full depth of </w:t>
      </w:r>
      <w:r w:rsidR="009A25A4">
        <w:rPr>
          <w:sz w:val="22"/>
          <w:szCs w:val="22"/>
        </w:rPr>
        <w:t xml:space="preserve">the sample in the </w:t>
      </w:r>
      <w:proofErr w:type="spellStart"/>
      <w:r w:rsidR="009A25A4">
        <w:rPr>
          <w:sz w:val="22"/>
          <w:szCs w:val="22"/>
        </w:rPr>
        <w:t>mold</w:t>
      </w:r>
      <w:proofErr w:type="spellEnd"/>
      <w:r w:rsidR="009A25A4">
        <w:rPr>
          <w:sz w:val="22"/>
          <w:szCs w:val="22"/>
        </w:rPr>
        <w:t xml:space="preserve">. The moisture content measurements were taken from the top, middle, and bottom of the sample in the </w:t>
      </w:r>
      <w:proofErr w:type="spellStart"/>
      <w:r w:rsidR="009A25A4">
        <w:rPr>
          <w:sz w:val="22"/>
          <w:szCs w:val="22"/>
        </w:rPr>
        <w:t>mold</w:t>
      </w:r>
      <w:proofErr w:type="spellEnd"/>
      <w:r w:rsidR="009A25A4">
        <w:rPr>
          <w:sz w:val="22"/>
          <w:szCs w:val="22"/>
        </w:rPr>
        <w:t>. The average value was used as the representative moisture content of the sample. T</w:t>
      </w:r>
      <w:r w:rsidR="00962772">
        <w:rPr>
          <w:sz w:val="22"/>
          <w:szCs w:val="22"/>
        </w:rPr>
        <w:t>he DPI</w:t>
      </w:r>
      <w:r w:rsidR="000C046D">
        <w:rPr>
          <w:sz w:val="22"/>
          <w:szCs w:val="22"/>
        </w:rPr>
        <w:t>s</w:t>
      </w:r>
      <w:r w:rsidR="00962772">
        <w:rPr>
          <w:sz w:val="22"/>
          <w:szCs w:val="22"/>
        </w:rPr>
        <w:t xml:space="preserve"> </w:t>
      </w:r>
      <w:r w:rsidR="000C046D">
        <w:rPr>
          <w:sz w:val="22"/>
          <w:szCs w:val="22"/>
        </w:rPr>
        <w:t>determined</w:t>
      </w:r>
      <w:r w:rsidR="00962772">
        <w:rPr>
          <w:sz w:val="22"/>
          <w:szCs w:val="22"/>
        </w:rPr>
        <w:t xml:space="preserve"> </w:t>
      </w:r>
      <w:r w:rsidR="000C046D">
        <w:rPr>
          <w:sz w:val="22"/>
          <w:szCs w:val="22"/>
        </w:rPr>
        <w:t xml:space="preserve">near </w:t>
      </w:r>
      <w:r w:rsidR="00962772">
        <w:rPr>
          <w:sz w:val="22"/>
          <w:szCs w:val="22"/>
        </w:rPr>
        <w:t xml:space="preserve">the optimum moisture content were reported as </w:t>
      </w:r>
      <w:proofErr w:type="spellStart"/>
      <w:r w:rsidR="00962772">
        <w:rPr>
          <w:sz w:val="22"/>
          <w:szCs w:val="22"/>
        </w:rPr>
        <w:t>DPI</w:t>
      </w:r>
      <w:r w:rsidR="002D0585">
        <w:rPr>
          <w:sz w:val="22"/>
          <w:szCs w:val="22"/>
          <w:vertAlign w:val="subscript"/>
        </w:rPr>
        <w:t>op</w:t>
      </w:r>
      <w:r w:rsidR="00962772" w:rsidRPr="00962772">
        <w:rPr>
          <w:sz w:val="22"/>
          <w:szCs w:val="22"/>
          <w:vertAlign w:val="subscript"/>
        </w:rPr>
        <w:t>t</w:t>
      </w:r>
      <w:proofErr w:type="spellEnd"/>
      <w:r w:rsidR="00962772">
        <w:rPr>
          <w:sz w:val="22"/>
          <w:szCs w:val="22"/>
        </w:rPr>
        <w:t>.</w:t>
      </w:r>
    </w:p>
    <w:p w:rsidR="00DB1761" w:rsidRDefault="00DB1761" w:rsidP="00976433">
      <w:pPr>
        <w:ind w:firstLine="0"/>
        <w:contextualSpacing/>
        <w:mirrorIndents/>
        <w:rPr>
          <w:rFonts w:ascii="Arial" w:hAnsi="Arial" w:cs="Arial"/>
          <w:b/>
          <w:szCs w:val="24"/>
        </w:rPr>
      </w:pPr>
    </w:p>
    <w:p w:rsidR="00BD27C0" w:rsidRPr="00AA6043" w:rsidRDefault="00BD27C0" w:rsidP="00AA6043">
      <w:pPr>
        <w:ind w:firstLine="0"/>
        <w:jc w:val="center"/>
        <w:rPr>
          <w:sz w:val="20"/>
        </w:rPr>
      </w:pPr>
      <w:proofErr w:type="gramStart"/>
      <w:r w:rsidRPr="00AA6043">
        <w:rPr>
          <w:sz w:val="20"/>
        </w:rPr>
        <w:t>Table 1</w:t>
      </w:r>
      <w:r w:rsidR="00AA6043">
        <w:rPr>
          <w:sz w:val="20"/>
        </w:rPr>
        <w:t>:</w:t>
      </w:r>
      <w:r w:rsidRPr="00AA6043">
        <w:rPr>
          <w:sz w:val="20"/>
        </w:rPr>
        <w:t xml:space="preserve"> Properties of test materials.</w:t>
      </w:r>
      <w:proofErr w:type="gramEnd"/>
    </w:p>
    <w:p w:rsidR="00BD27C0" w:rsidRDefault="00BD27C0" w:rsidP="00976433">
      <w:pPr>
        <w:ind w:firstLine="0"/>
        <w:contextualSpacing/>
        <w:mirrorIndents/>
        <w:rPr>
          <w:rFonts w:ascii="Arial" w:hAnsi="Arial" w:cs="Arial"/>
          <w:b/>
          <w:szCs w:val="24"/>
        </w:rPr>
      </w:pP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718"/>
        <w:gridCol w:w="2610"/>
      </w:tblGrid>
      <w:tr w:rsidR="00DB1761" w:rsidRPr="00847C85" w:rsidTr="00AA6043">
        <w:trPr>
          <w:jc w:val="center"/>
        </w:trPr>
        <w:tc>
          <w:tcPr>
            <w:tcW w:w="2610" w:type="dxa"/>
            <w:tcBorders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Properties</w:t>
            </w:r>
          </w:p>
        </w:tc>
        <w:tc>
          <w:tcPr>
            <w:tcW w:w="2718" w:type="dxa"/>
            <w:tcBorders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Sand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Lateritic Soil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USCS</w:t>
            </w:r>
          </w:p>
        </w:tc>
        <w:tc>
          <w:tcPr>
            <w:tcW w:w="2718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SP</w:t>
            </w:r>
          </w:p>
        </w:tc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GP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AASHTO</w:t>
            </w:r>
          </w:p>
        </w:tc>
        <w:tc>
          <w:tcPr>
            <w:tcW w:w="2718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A-3</w:t>
            </w:r>
          </w:p>
        </w:tc>
        <w:tc>
          <w:tcPr>
            <w:tcW w:w="2610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A-2-4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AD2C9C">
            <w:pPr>
              <w:ind w:firstLine="522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25 mm (1 in.)</w:t>
            </w:r>
          </w:p>
        </w:tc>
        <w:tc>
          <w:tcPr>
            <w:tcW w:w="2718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100</w:t>
            </w:r>
          </w:p>
        </w:tc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100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AD2C9C">
            <w:pPr>
              <w:ind w:firstLine="522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19 mm (3/4 in.)</w:t>
            </w: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100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100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AD2C9C">
            <w:pPr>
              <w:ind w:firstLine="522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9.5 mm (3/8 in.)</w:t>
            </w: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97.8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88.3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No.4</w:t>
            </w: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92.3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44.6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No.10</w:t>
            </w: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71.1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8.8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No.40</w:t>
            </w: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25.7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3.7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No.200</w:t>
            </w:r>
          </w:p>
        </w:tc>
        <w:tc>
          <w:tcPr>
            <w:tcW w:w="2718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1.7</w:t>
            </w:r>
          </w:p>
        </w:tc>
        <w:tc>
          <w:tcPr>
            <w:tcW w:w="2610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1.5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bCs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D</w:t>
            </w:r>
            <w:r w:rsidRPr="00AD2C9C">
              <w:rPr>
                <w:rFonts w:asciiTheme="majorBidi" w:hAnsiTheme="majorBidi" w:cstheme="majorBidi"/>
                <w:bCs/>
                <w:sz w:val="20"/>
                <w:vertAlign w:val="subscript"/>
              </w:rPr>
              <w:t xml:space="preserve">10 </w:t>
            </w:r>
            <w:r w:rsidRPr="00AD2C9C">
              <w:rPr>
                <w:rFonts w:asciiTheme="majorBidi" w:hAnsiTheme="majorBidi" w:cstheme="majorBidi"/>
                <w:bCs/>
                <w:sz w:val="20"/>
              </w:rPr>
              <w:t>(mm)</w:t>
            </w:r>
          </w:p>
        </w:tc>
        <w:tc>
          <w:tcPr>
            <w:tcW w:w="2718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0.2</w:t>
            </w:r>
          </w:p>
        </w:tc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2.2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bCs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D</w:t>
            </w:r>
            <w:r w:rsidRPr="00AD2C9C">
              <w:rPr>
                <w:rFonts w:asciiTheme="majorBidi" w:hAnsiTheme="majorBidi" w:cstheme="majorBidi"/>
                <w:bCs/>
                <w:sz w:val="20"/>
                <w:vertAlign w:val="subscript"/>
              </w:rPr>
              <w:t xml:space="preserve">30 </w:t>
            </w:r>
            <w:r w:rsidRPr="00AD2C9C">
              <w:rPr>
                <w:rFonts w:asciiTheme="majorBidi" w:hAnsiTheme="majorBidi" w:cstheme="majorBidi"/>
                <w:bCs/>
                <w:sz w:val="20"/>
              </w:rPr>
              <w:t>(mm)</w:t>
            </w: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0.5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3.5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bCs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D</w:t>
            </w:r>
            <w:r w:rsidRPr="00AD2C9C">
              <w:rPr>
                <w:rFonts w:asciiTheme="majorBidi" w:hAnsiTheme="majorBidi" w:cstheme="majorBidi"/>
                <w:bCs/>
                <w:sz w:val="20"/>
                <w:vertAlign w:val="subscript"/>
              </w:rPr>
              <w:t xml:space="preserve">60 </w:t>
            </w:r>
            <w:r w:rsidRPr="00AD2C9C">
              <w:rPr>
                <w:rFonts w:asciiTheme="majorBidi" w:hAnsiTheme="majorBidi" w:cstheme="majorBidi"/>
                <w:bCs/>
                <w:sz w:val="20"/>
              </w:rPr>
              <w:t>(mm)</w:t>
            </w:r>
          </w:p>
        </w:tc>
        <w:tc>
          <w:tcPr>
            <w:tcW w:w="2718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1.4</w:t>
            </w:r>
          </w:p>
        </w:tc>
        <w:tc>
          <w:tcPr>
            <w:tcW w:w="2610" w:type="dxa"/>
            <w:tcBorders>
              <w:top w:val="nil"/>
              <w:bottom w:val="single" w:sz="4" w:space="0" w:color="000000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6.0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bCs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LL</w:t>
            </w:r>
          </w:p>
        </w:tc>
        <w:tc>
          <w:tcPr>
            <w:tcW w:w="2718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NP</w:t>
            </w:r>
          </w:p>
        </w:tc>
        <w:tc>
          <w:tcPr>
            <w:tcW w:w="2610" w:type="dxa"/>
            <w:tcBorders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19.2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bCs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t>PI</w:t>
            </w: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NP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9.1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  <w:tcBorders>
              <w:top w:val="nil"/>
            </w:tcBorders>
          </w:tcPr>
          <w:p w:rsidR="00DB1761" w:rsidRPr="00AD2C9C" w:rsidRDefault="00A35C6E" w:rsidP="00BD27C0">
            <w:pPr>
              <w:ind w:left="459"/>
              <w:rPr>
                <w:rFonts w:asciiTheme="majorBidi" w:hAnsiTheme="majorBidi" w:cstheme="majorBidi"/>
                <w:bCs/>
                <w:sz w:val="20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Cs/>
                <w:sz w:val="20"/>
              </w:rPr>
              <w:t>w</w:t>
            </w:r>
            <w:r w:rsidR="00DB1761" w:rsidRPr="00AD2C9C">
              <w:rPr>
                <w:rFonts w:asciiTheme="majorBidi" w:hAnsiTheme="majorBidi" w:cstheme="majorBidi"/>
                <w:bCs/>
                <w:sz w:val="20"/>
                <w:vertAlign w:val="subscript"/>
              </w:rPr>
              <w:t>opt</w:t>
            </w:r>
            <w:proofErr w:type="spellEnd"/>
            <w:proofErr w:type="gramEnd"/>
            <w:r w:rsidR="00DB1761" w:rsidRPr="00AD2C9C">
              <w:rPr>
                <w:rFonts w:asciiTheme="majorBidi" w:hAnsiTheme="majorBidi" w:cstheme="majorBidi"/>
                <w:bCs/>
                <w:sz w:val="20"/>
              </w:rPr>
              <w:t xml:space="preserve"> (%)</w:t>
            </w:r>
          </w:p>
        </w:tc>
        <w:tc>
          <w:tcPr>
            <w:tcW w:w="2718" w:type="dxa"/>
            <w:tcBorders>
              <w:top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9.3</w:t>
            </w:r>
          </w:p>
        </w:tc>
        <w:tc>
          <w:tcPr>
            <w:tcW w:w="2610" w:type="dxa"/>
            <w:tcBorders>
              <w:top w:val="nil"/>
            </w:tcBorders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6.5</w:t>
            </w:r>
          </w:p>
        </w:tc>
      </w:tr>
      <w:tr w:rsidR="00DB1761" w:rsidRPr="00847C85" w:rsidTr="00AA6043">
        <w:trPr>
          <w:jc w:val="center"/>
        </w:trPr>
        <w:tc>
          <w:tcPr>
            <w:tcW w:w="2610" w:type="dxa"/>
          </w:tcPr>
          <w:p w:rsidR="00DB1761" w:rsidRPr="00AD2C9C" w:rsidRDefault="00DB1761" w:rsidP="00BD27C0">
            <w:pPr>
              <w:ind w:left="459"/>
              <w:rPr>
                <w:rFonts w:asciiTheme="majorBidi" w:hAnsiTheme="majorBidi" w:cstheme="majorBidi"/>
                <w:bCs/>
                <w:sz w:val="20"/>
              </w:rPr>
            </w:pPr>
            <w:r w:rsidRPr="00AD2C9C">
              <w:rPr>
                <w:rFonts w:asciiTheme="majorBidi" w:hAnsiTheme="majorBidi" w:cstheme="majorBidi"/>
                <w:bCs/>
                <w:sz w:val="20"/>
              </w:rPr>
              <w:sym w:font="Symbol" w:char="F067"/>
            </w:r>
            <w:r w:rsidRPr="00AD2C9C">
              <w:rPr>
                <w:rFonts w:asciiTheme="majorBidi" w:hAnsiTheme="majorBidi" w:cstheme="majorBidi"/>
                <w:bCs/>
                <w:sz w:val="20"/>
                <w:vertAlign w:val="subscript"/>
              </w:rPr>
              <w:t>d, max</w:t>
            </w:r>
            <w:r w:rsidRPr="00AD2C9C">
              <w:rPr>
                <w:rFonts w:asciiTheme="majorBidi" w:hAnsiTheme="majorBidi" w:cstheme="majorBidi"/>
                <w:bCs/>
                <w:sz w:val="20"/>
              </w:rPr>
              <w:t xml:space="preserve"> (</w:t>
            </w:r>
            <w:proofErr w:type="spellStart"/>
            <w:r w:rsidRPr="00AD2C9C">
              <w:rPr>
                <w:rFonts w:asciiTheme="majorBidi" w:hAnsiTheme="majorBidi" w:cstheme="majorBidi"/>
                <w:bCs/>
                <w:sz w:val="20"/>
              </w:rPr>
              <w:t>kN</w:t>
            </w:r>
            <w:proofErr w:type="spellEnd"/>
            <w:r w:rsidRPr="00AD2C9C">
              <w:rPr>
                <w:rFonts w:asciiTheme="majorBidi" w:hAnsiTheme="majorBidi" w:cstheme="majorBidi"/>
                <w:bCs/>
                <w:sz w:val="20"/>
              </w:rPr>
              <w:t>/m</w:t>
            </w:r>
            <w:r w:rsidRPr="00AD2C9C">
              <w:rPr>
                <w:rFonts w:asciiTheme="majorBidi" w:hAnsiTheme="majorBidi" w:cstheme="majorBidi"/>
                <w:bCs/>
                <w:sz w:val="20"/>
                <w:vertAlign w:val="superscript"/>
              </w:rPr>
              <w:t>3</w:t>
            </w:r>
            <w:r w:rsidRPr="00AD2C9C">
              <w:rPr>
                <w:rFonts w:asciiTheme="majorBidi" w:hAnsiTheme="majorBidi" w:cstheme="majorBidi"/>
                <w:bCs/>
                <w:sz w:val="20"/>
              </w:rPr>
              <w:t>)</w:t>
            </w:r>
          </w:p>
        </w:tc>
        <w:tc>
          <w:tcPr>
            <w:tcW w:w="2718" w:type="dxa"/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20.7</w:t>
            </w:r>
          </w:p>
        </w:tc>
        <w:tc>
          <w:tcPr>
            <w:tcW w:w="2610" w:type="dxa"/>
          </w:tcPr>
          <w:p w:rsidR="00DB1761" w:rsidRPr="00AD2C9C" w:rsidRDefault="00DB1761" w:rsidP="00BD27C0">
            <w:pPr>
              <w:jc w:val="center"/>
              <w:rPr>
                <w:rFonts w:asciiTheme="majorBidi" w:hAnsiTheme="majorBidi" w:cstheme="majorBidi"/>
                <w:sz w:val="20"/>
              </w:rPr>
            </w:pPr>
            <w:r w:rsidRPr="00AD2C9C">
              <w:rPr>
                <w:rFonts w:asciiTheme="majorBidi" w:hAnsiTheme="majorBidi" w:cstheme="majorBidi"/>
                <w:sz w:val="20"/>
              </w:rPr>
              <w:t>22.4</w:t>
            </w:r>
          </w:p>
        </w:tc>
      </w:tr>
    </w:tbl>
    <w:p w:rsidR="00DB1761" w:rsidRDefault="00DB1761" w:rsidP="00976433">
      <w:pPr>
        <w:ind w:firstLine="0"/>
        <w:contextualSpacing/>
        <w:mirrorIndents/>
        <w:rPr>
          <w:rFonts w:ascii="Arial" w:hAnsi="Arial" w:cs="Arial"/>
          <w:b/>
          <w:szCs w:val="24"/>
        </w:rPr>
      </w:pPr>
    </w:p>
    <w:p w:rsidR="00F80AE9" w:rsidRPr="00F80AE9" w:rsidRDefault="00F352B0" w:rsidP="00976433">
      <w:pPr>
        <w:ind w:firstLine="0"/>
        <w:contextualSpacing/>
        <w:mirrorIndents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Results and Discussion</w:t>
      </w:r>
    </w:p>
    <w:p w:rsidR="00F80AE9" w:rsidRPr="000078A6" w:rsidRDefault="006F2174" w:rsidP="006D0AE6">
      <w:pPr>
        <w:ind w:firstLine="397"/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 xml:space="preserve">To investigate the effect of </w:t>
      </w:r>
      <w:r w:rsidR="005E2429">
        <w:rPr>
          <w:sz w:val="22"/>
          <w:szCs w:val="22"/>
        </w:rPr>
        <w:t>boundary conditions</w:t>
      </w:r>
      <w:r>
        <w:rPr>
          <w:sz w:val="22"/>
          <w:szCs w:val="22"/>
        </w:rPr>
        <w:t xml:space="preserve"> on the DCP test, the ratio </w:t>
      </w:r>
      <w:r w:rsidR="006338D5">
        <w:rPr>
          <w:sz w:val="22"/>
          <w:szCs w:val="22"/>
        </w:rPr>
        <w:t>between</w:t>
      </w:r>
      <w:r>
        <w:rPr>
          <w:sz w:val="22"/>
          <w:szCs w:val="22"/>
        </w:rPr>
        <w:t xml:space="preserve"> the </w:t>
      </w:r>
      <w:r w:rsidR="006338D5">
        <w:rPr>
          <w:sz w:val="22"/>
          <w:szCs w:val="22"/>
        </w:rPr>
        <w:t xml:space="preserve">diameter of the metal </w:t>
      </w:r>
      <w:proofErr w:type="spellStart"/>
      <w:r w:rsidR="006338D5">
        <w:rPr>
          <w:sz w:val="22"/>
          <w:szCs w:val="22"/>
        </w:rPr>
        <w:t>mold</w:t>
      </w:r>
      <w:proofErr w:type="spellEnd"/>
      <w:r w:rsidR="006338D5">
        <w:rPr>
          <w:sz w:val="22"/>
          <w:szCs w:val="22"/>
        </w:rPr>
        <w:t xml:space="preserve"> (</w:t>
      </w:r>
      <w:r w:rsidR="00D6533B">
        <w:rPr>
          <w:sz w:val="22"/>
          <w:szCs w:val="22"/>
        </w:rPr>
        <w:t>e.g.</w:t>
      </w:r>
      <w:r w:rsidR="006338D5">
        <w:rPr>
          <w:sz w:val="22"/>
          <w:szCs w:val="22"/>
        </w:rPr>
        <w:t xml:space="preserve"> 150, 200, 300 mm) and</w:t>
      </w:r>
      <w:r>
        <w:rPr>
          <w:sz w:val="22"/>
          <w:szCs w:val="22"/>
        </w:rPr>
        <w:t xml:space="preserve"> the </w:t>
      </w:r>
      <w:r w:rsidR="006338D5">
        <w:rPr>
          <w:sz w:val="22"/>
          <w:szCs w:val="22"/>
        </w:rPr>
        <w:t xml:space="preserve">base </w:t>
      </w:r>
      <w:r>
        <w:rPr>
          <w:sz w:val="22"/>
          <w:szCs w:val="22"/>
        </w:rPr>
        <w:t xml:space="preserve">diameter of the DCP cone </w:t>
      </w:r>
      <w:r w:rsidR="006338D5">
        <w:rPr>
          <w:sz w:val="22"/>
          <w:szCs w:val="22"/>
        </w:rPr>
        <w:t xml:space="preserve">tip </w:t>
      </w:r>
      <w:r w:rsidR="00D6533B">
        <w:rPr>
          <w:sz w:val="22"/>
          <w:szCs w:val="22"/>
        </w:rPr>
        <w:t>(e.g.</w:t>
      </w:r>
      <w:r w:rsidR="006338D5">
        <w:rPr>
          <w:sz w:val="22"/>
          <w:szCs w:val="22"/>
        </w:rPr>
        <w:t xml:space="preserve"> 20 mm) was used </w:t>
      </w:r>
      <w:r w:rsidR="00D6533B">
        <w:rPr>
          <w:sz w:val="22"/>
          <w:szCs w:val="22"/>
        </w:rPr>
        <w:t xml:space="preserve">and expressed as the ratio of </w:t>
      </w:r>
      <w:proofErr w:type="spellStart"/>
      <w:r w:rsidR="00D6533B">
        <w:rPr>
          <w:sz w:val="22"/>
          <w:szCs w:val="22"/>
        </w:rPr>
        <w:t>mold</w:t>
      </w:r>
      <w:proofErr w:type="spellEnd"/>
      <w:r w:rsidR="00D6533B">
        <w:rPr>
          <w:sz w:val="22"/>
          <w:szCs w:val="22"/>
        </w:rPr>
        <w:t>-to-cone diameter) herein</w:t>
      </w:r>
      <w:r w:rsidR="006338D5">
        <w:rPr>
          <w:sz w:val="22"/>
          <w:szCs w:val="22"/>
        </w:rPr>
        <w:t xml:space="preserve">. </w:t>
      </w:r>
      <w:r w:rsidR="00D470F5">
        <w:rPr>
          <w:sz w:val="22"/>
          <w:szCs w:val="22"/>
        </w:rPr>
        <w:t xml:space="preserve">As illustrated in </w:t>
      </w:r>
      <w:r w:rsidR="00D6533B">
        <w:rPr>
          <w:sz w:val="22"/>
          <w:szCs w:val="22"/>
        </w:rPr>
        <w:t>Fig. 1</w:t>
      </w:r>
      <w:r w:rsidR="00D470F5">
        <w:rPr>
          <w:sz w:val="22"/>
          <w:szCs w:val="22"/>
        </w:rPr>
        <w:t xml:space="preserve">, </w:t>
      </w:r>
      <w:r w:rsidR="00D6533B">
        <w:rPr>
          <w:sz w:val="22"/>
          <w:szCs w:val="22"/>
        </w:rPr>
        <w:t xml:space="preserve">the </w:t>
      </w:r>
      <w:proofErr w:type="spellStart"/>
      <w:r w:rsidR="00D6533B">
        <w:rPr>
          <w:sz w:val="22"/>
          <w:szCs w:val="22"/>
        </w:rPr>
        <w:t>DPI</w:t>
      </w:r>
      <w:r w:rsidR="00D6533B" w:rsidRPr="00ED3EAB">
        <w:rPr>
          <w:sz w:val="22"/>
          <w:szCs w:val="22"/>
          <w:vertAlign w:val="subscript"/>
        </w:rPr>
        <w:t>opt</w:t>
      </w:r>
      <w:proofErr w:type="spellEnd"/>
      <w:r w:rsidR="00D6533B">
        <w:rPr>
          <w:sz w:val="22"/>
          <w:szCs w:val="22"/>
        </w:rPr>
        <w:t xml:space="preserve"> values increased as the ratio of </w:t>
      </w:r>
      <w:proofErr w:type="spellStart"/>
      <w:r w:rsidR="00D6533B">
        <w:rPr>
          <w:sz w:val="22"/>
          <w:szCs w:val="22"/>
        </w:rPr>
        <w:t>mold</w:t>
      </w:r>
      <w:proofErr w:type="spellEnd"/>
      <w:r w:rsidR="00D6533B">
        <w:rPr>
          <w:sz w:val="22"/>
          <w:szCs w:val="22"/>
        </w:rPr>
        <w:t>-to-cone diameter increased from 7.5 to 15</w:t>
      </w:r>
      <w:r w:rsidR="00D470F5">
        <w:rPr>
          <w:sz w:val="22"/>
          <w:szCs w:val="22"/>
        </w:rPr>
        <w:t xml:space="preserve"> </w:t>
      </w:r>
      <w:r w:rsidR="00ED3EAB">
        <w:rPr>
          <w:sz w:val="22"/>
          <w:szCs w:val="22"/>
        </w:rPr>
        <w:t xml:space="preserve">for </w:t>
      </w:r>
      <w:r w:rsidR="00D470F5">
        <w:rPr>
          <w:sz w:val="22"/>
          <w:szCs w:val="22"/>
        </w:rPr>
        <w:t xml:space="preserve">both </w:t>
      </w:r>
      <w:r w:rsidR="00ED3EAB">
        <w:rPr>
          <w:sz w:val="22"/>
          <w:szCs w:val="22"/>
        </w:rPr>
        <w:t xml:space="preserve">sand and lateritic soil samples used in this study. </w:t>
      </w:r>
      <w:r>
        <w:rPr>
          <w:sz w:val="22"/>
          <w:szCs w:val="22"/>
        </w:rPr>
        <w:t xml:space="preserve">Sand sample exhibited larger </w:t>
      </w:r>
      <w:proofErr w:type="spellStart"/>
      <w:r>
        <w:rPr>
          <w:sz w:val="22"/>
          <w:szCs w:val="22"/>
        </w:rPr>
        <w:t>DPI</w:t>
      </w:r>
      <w:r w:rsidRPr="006F2174">
        <w:rPr>
          <w:sz w:val="22"/>
          <w:szCs w:val="22"/>
          <w:vertAlign w:val="subscript"/>
        </w:rPr>
        <w:t>opt</w:t>
      </w:r>
      <w:proofErr w:type="spellEnd"/>
      <w:r>
        <w:rPr>
          <w:sz w:val="22"/>
          <w:szCs w:val="22"/>
        </w:rPr>
        <w:t xml:space="preserve"> values </w:t>
      </w:r>
      <w:r w:rsidR="00D470F5">
        <w:rPr>
          <w:sz w:val="22"/>
          <w:szCs w:val="22"/>
        </w:rPr>
        <w:t>tha</w:t>
      </w:r>
      <w:r w:rsidR="00571D31">
        <w:rPr>
          <w:sz w:val="22"/>
          <w:szCs w:val="22"/>
        </w:rPr>
        <w:t>n lateritic soil sample for a given</w:t>
      </w:r>
      <w:r w:rsidR="00D470F5">
        <w:rPr>
          <w:sz w:val="22"/>
          <w:szCs w:val="22"/>
        </w:rPr>
        <w:t xml:space="preserve"> rati</w:t>
      </w:r>
      <w:r w:rsidR="00571D31">
        <w:rPr>
          <w:sz w:val="22"/>
          <w:szCs w:val="22"/>
        </w:rPr>
        <w:t xml:space="preserve">o of </w:t>
      </w:r>
      <w:proofErr w:type="spellStart"/>
      <w:r w:rsidR="00571D31">
        <w:rPr>
          <w:sz w:val="22"/>
          <w:szCs w:val="22"/>
        </w:rPr>
        <w:t>mold</w:t>
      </w:r>
      <w:proofErr w:type="spellEnd"/>
      <w:r w:rsidR="00571D31">
        <w:rPr>
          <w:sz w:val="22"/>
          <w:szCs w:val="22"/>
        </w:rPr>
        <w:t xml:space="preserve">-to-cone diameter. A slope of the </w:t>
      </w:r>
      <w:r w:rsidR="00D470F5">
        <w:rPr>
          <w:sz w:val="22"/>
          <w:szCs w:val="22"/>
        </w:rPr>
        <w:t xml:space="preserve">relationship between </w:t>
      </w:r>
      <w:proofErr w:type="spellStart"/>
      <w:r w:rsidRPr="00D470F5">
        <w:rPr>
          <w:sz w:val="22"/>
          <w:szCs w:val="22"/>
        </w:rPr>
        <w:t>DPI</w:t>
      </w:r>
      <w:r w:rsidRPr="00D470F5">
        <w:rPr>
          <w:sz w:val="22"/>
          <w:szCs w:val="22"/>
          <w:vertAlign w:val="subscript"/>
        </w:rPr>
        <w:t>opt</w:t>
      </w:r>
      <w:proofErr w:type="spellEnd"/>
      <w:r w:rsidR="00D470F5">
        <w:rPr>
          <w:sz w:val="22"/>
          <w:szCs w:val="22"/>
        </w:rPr>
        <w:t xml:space="preserve"> </w:t>
      </w:r>
      <w:r w:rsidR="00D470F5" w:rsidRPr="00D470F5">
        <w:rPr>
          <w:sz w:val="22"/>
          <w:szCs w:val="22"/>
        </w:rPr>
        <w:t>and</w:t>
      </w:r>
      <w:r w:rsidR="00D470F5">
        <w:rPr>
          <w:sz w:val="22"/>
          <w:szCs w:val="22"/>
        </w:rPr>
        <w:t xml:space="preserve"> </w:t>
      </w:r>
      <w:proofErr w:type="spellStart"/>
      <w:r w:rsidR="00D470F5">
        <w:rPr>
          <w:sz w:val="22"/>
          <w:szCs w:val="22"/>
        </w:rPr>
        <w:t>mold</w:t>
      </w:r>
      <w:proofErr w:type="spellEnd"/>
      <w:r w:rsidR="00D470F5">
        <w:rPr>
          <w:sz w:val="22"/>
          <w:szCs w:val="22"/>
        </w:rPr>
        <w:t xml:space="preserve">-to-cone diameter ratio for sand sample was </w:t>
      </w:r>
      <w:r w:rsidR="00182304">
        <w:rPr>
          <w:sz w:val="22"/>
          <w:szCs w:val="22"/>
        </w:rPr>
        <w:t xml:space="preserve">also </w:t>
      </w:r>
      <w:r w:rsidR="00D470F5">
        <w:rPr>
          <w:sz w:val="22"/>
          <w:szCs w:val="22"/>
        </w:rPr>
        <w:t>steeper than that for lateritic soil sample.</w:t>
      </w:r>
      <w:r w:rsidR="00182304">
        <w:rPr>
          <w:sz w:val="22"/>
          <w:szCs w:val="22"/>
        </w:rPr>
        <w:t xml:space="preserve"> These results were compared with </w:t>
      </w:r>
      <w:r w:rsidR="00EA2E33">
        <w:rPr>
          <w:sz w:val="22"/>
          <w:szCs w:val="22"/>
        </w:rPr>
        <w:t>[13</w:t>
      </w:r>
      <w:r w:rsidR="00182304">
        <w:rPr>
          <w:sz w:val="22"/>
          <w:szCs w:val="22"/>
        </w:rPr>
        <w:t xml:space="preserve">], which </w:t>
      </w:r>
      <w:r w:rsidR="00E3095E">
        <w:rPr>
          <w:sz w:val="22"/>
          <w:szCs w:val="22"/>
        </w:rPr>
        <w:t>utilized</w:t>
      </w:r>
      <w:r w:rsidR="00182304">
        <w:rPr>
          <w:sz w:val="22"/>
          <w:szCs w:val="22"/>
        </w:rPr>
        <w:t xml:space="preserve"> similar </w:t>
      </w:r>
      <w:r w:rsidR="00E3095E">
        <w:rPr>
          <w:sz w:val="22"/>
          <w:szCs w:val="22"/>
        </w:rPr>
        <w:t>lateritic soil</w:t>
      </w:r>
      <w:r w:rsidR="00182304">
        <w:rPr>
          <w:sz w:val="22"/>
          <w:szCs w:val="22"/>
        </w:rPr>
        <w:t xml:space="preserve"> </w:t>
      </w:r>
      <w:r w:rsidR="00E3095E">
        <w:rPr>
          <w:sz w:val="22"/>
          <w:szCs w:val="22"/>
        </w:rPr>
        <w:t xml:space="preserve">sample </w:t>
      </w:r>
      <w:r w:rsidR="00182304">
        <w:rPr>
          <w:sz w:val="22"/>
          <w:szCs w:val="22"/>
        </w:rPr>
        <w:t xml:space="preserve">having a LL of 52, a PI of 34 with a fine content </w:t>
      </w:r>
      <w:r w:rsidR="00A35C6E">
        <w:rPr>
          <w:sz w:val="22"/>
          <w:szCs w:val="22"/>
        </w:rPr>
        <w:t xml:space="preserve">of 45.8%, a gravel content of 13.8%, a </w:t>
      </w:r>
      <w:proofErr w:type="spellStart"/>
      <w:r w:rsidR="00A35C6E">
        <w:rPr>
          <w:sz w:val="22"/>
          <w:szCs w:val="22"/>
        </w:rPr>
        <w:t>w</w:t>
      </w:r>
      <w:r w:rsidR="00A35C6E" w:rsidRPr="00A35C6E">
        <w:rPr>
          <w:sz w:val="22"/>
          <w:szCs w:val="22"/>
          <w:vertAlign w:val="subscript"/>
        </w:rPr>
        <w:t>opt</w:t>
      </w:r>
      <w:proofErr w:type="spellEnd"/>
      <w:r w:rsidR="00A35C6E">
        <w:rPr>
          <w:sz w:val="22"/>
          <w:szCs w:val="22"/>
        </w:rPr>
        <w:t xml:space="preserve"> of 15.7%, and a </w:t>
      </w:r>
      <w:r w:rsidR="00A35C6E" w:rsidRPr="00383996">
        <w:rPr>
          <w:rFonts w:ascii="Symbol" w:hAnsi="Symbol"/>
          <w:sz w:val="22"/>
          <w:szCs w:val="22"/>
        </w:rPr>
        <w:t></w:t>
      </w:r>
      <w:proofErr w:type="spellStart"/>
      <w:r w:rsidR="00A35C6E" w:rsidRPr="00383996">
        <w:rPr>
          <w:sz w:val="22"/>
          <w:szCs w:val="22"/>
          <w:vertAlign w:val="subscript"/>
        </w:rPr>
        <w:t>d</w:t>
      </w:r>
      <w:proofErr w:type="gramStart"/>
      <w:r w:rsidR="00A35C6E" w:rsidRPr="00383996">
        <w:rPr>
          <w:sz w:val="22"/>
          <w:szCs w:val="22"/>
          <w:vertAlign w:val="subscript"/>
        </w:rPr>
        <w:t>,max</w:t>
      </w:r>
      <w:proofErr w:type="spellEnd"/>
      <w:proofErr w:type="gramEnd"/>
      <w:r w:rsidR="00A35C6E">
        <w:rPr>
          <w:sz w:val="22"/>
          <w:szCs w:val="22"/>
        </w:rPr>
        <w:t xml:space="preserve"> of 18.5 </w:t>
      </w:r>
      <w:proofErr w:type="spellStart"/>
      <w:r w:rsidR="00A35C6E">
        <w:rPr>
          <w:sz w:val="22"/>
          <w:szCs w:val="22"/>
        </w:rPr>
        <w:t>kN</w:t>
      </w:r>
      <w:proofErr w:type="spellEnd"/>
      <w:r w:rsidR="00A35C6E">
        <w:rPr>
          <w:sz w:val="22"/>
          <w:szCs w:val="22"/>
        </w:rPr>
        <w:t>/m</w:t>
      </w:r>
      <w:r w:rsidR="00A35C6E" w:rsidRPr="00383996">
        <w:rPr>
          <w:sz w:val="22"/>
          <w:szCs w:val="22"/>
          <w:vertAlign w:val="superscript"/>
        </w:rPr>
        <w:t>3</w:t>
      </w:r>
      <w:r w:rsidR="00A63062">
        <w:rPr>
          <w:sz w:val="22"/>
          <w:szCs w:val="22"/>
        </w:rPr>
        <w:t xml:space="preserve"> </w:t>
      </w:r>
      <w:r w:rsidR="00E3095E">
        <w:rPr>
          <w:sz w:val="22"/>
          <w:szCs w:val="22"/>
        </w:rPr>
        <w:t xml:space="preserve">but </w:t>
      </w:r>
      <w:r w:rsidR="00A63062">
        <w:rPr>
          <w:sz w:val="22"/>
          <w:szCs w:val="22"/>
        </w:rPr>
        <w:t>prepared at compaction levels of 80%, 90%, and 100% of the modified Proctor maximum dry d</w:t>
      </w:r>
      <w:r w:rsidR="00666A71">
        <w:rPr>
          <w:sz w:val="22"/>
          <w:szCs w:val="22"/>
        </w:rPr>
        <w:t>ensity and at moisture content near the optimum</w:t>
      </w:r>
      <w:r w:rsidR="00A63062">
        <w:rPr>
          <w:sz w:val="22"/>
          <w:szCs w:val="22"/>
        </w:rPr>
        <w:t xml:space="preserve">. </w:t>
      </w:r>
      <w:r w:rsidR="00A35C6E">
        <w:rPr>
          <w:sz w:val="22"/>
          <w:szCs w:val="22"/>
        </w:rPr>
        <w:t xml:space="preserve"> </w:t>
      </w:r>
    </w:p>
    <w:p w:rsidR="00F80AE9" w:rsidRPr="000078A6" w:rsidRDefault="00A23F2F" w:rsidP="006D0AE6">
      <w:pPr>
        <w:ind w:firstLine="397"/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DPI</w:t>
      </w:r>
      <w:r w:rsidRPr="008354E8">
        <w:rPr>
          <w:sz w:val="22"/>
          <w:szCs w:val="22"/>
          <w:vertAlign w:val="subscript"/>
        </w:rPr>
        <w:t>opt</w:t>
      </w:r>
      <w:proofErr w:type="spellEnd"/>
      <w:r>
        <w:rPr>
          <w:sz w:val="22"/>
          <w:szCs w:val="22"/>
        </w:rPr>
        <w:t xml:space="preserve"> values in Fig. 1 were </w:t>
      </w:r>
      <w:r w:rsidR="004D3F57">
        <w:rPr>
          <w:sz w:val="22"/>
          <w:szCs w:val="22"/>
        </w:rPr>
        <w:t>normalized</w:t>
      </w:r>
      <w:r>
        <w:rPr>
          <w:sz w:val="22"/>
          <w:szCs w:val="22"/>
        </w:rPr>
        <w:t xml:space="preserve"> by the </w:t>
      </w:r>
      <w:proofErr w:type="spellStart"/>
      <w:r>
        <w:rPr>
          <w:sz w:val="22"/>
          <w:szCs w:val="22"/>
        </w:rPr>
        <w:t>DPI</w:t>
      </w:r>
      <w:r w:rsidRPr="008354E8">
        <w:rPr>
          <w:sz w:val="22"/>
          <w:szCs w:val="22"/>
          <w:vertAlign w:val="subscript"/>
        </w:rPr>
        <w:t>opt</w:t>
      </w:r>
      <w:proofErr w:type="spellEnd"/>
      <w:r>
        <w:rPr>
          <w:sz w:val="22"/>
          <w:szCs w:val="22"/>
        </w:rPr>
        <w:t xml:space="preserve"> value obtained in a 150-mm diameter metal </w:t>
      </w:r>
      <w:proofErr w:type="spellStart"/>
      <w:r>
        <w:rPr>
          <w:sz w:val="22"/>
          <w:szCs w:val="22"/>
        </w:rPr>
        <w:t>mold</w:t>
      </w:r>
      <w:proofErr w:type="spellEnd"/>
      <w:r>
        <w:rPr>
          <w:sz w:val="22"/>
          <w:szCs w:val="22"/>
        </w:rPr>
        <w:t xml:space="preserve"> (i.e. conventional CBR </w:t>
      </w:r>
      <w:proofErr w:type="spellStart"/>
      <w:r>
        <w:rPr>
          <w:sz w:val="22"/>
          <w:szCs w:val="22"/>
        </w:rPr>
        <w:t>mold</w:t>
      </w:r>
      <w:proofErr w:type="spellEnd"/>
      <w:r>
        <w:rPr>
          <w:sz w:val="22"/>
          <w:szCs w:val="22"/>
        </w:rPr>
        <w:t xml:space="preserve">). </w:t>
      </w:r>
      <w:r w:rsidR="00A63062">
        <w:rPr>
          <w:sz w:val="22"/>
          <w:szCs w:val="22"/>
        </w:rPr>
        <w:t xml:space="preserve">The normalized values were plotted against the ratio of </w:t>
      </w:r>
      <w:proofErr w:type="spellStart"/>
      <w:r w:rsidR="00A63062">
        <w:rPr>
          <w:sz w:val="22"/>
          <w:szCs w:val="22"/>
        </w:rPr>
        <w:t>mold</w:t>
      </w:r>
      <w:proofErr w:type="spellEnd"/>
      <w:r w:rsidR="00A63062">
        <w:rPr>
          <w:sz w:val="22"/>
          <w:szCs w:val="22"/>
        </w:rPr>
        <w:t xml:space="preserve">-to-cone diameters as presented in Fig. 2. </w:t>
      </w:r>
      <w:r w:rsidR="00FF3DCD">
        <w:rPr>
          <w:sz w:val="22"/>
          <w:szCs w:val="22"/>
        </w:rPr>
        <w:t xml:space="preserve">It was found that the normalized </w:t>
      </w:r>
      <w:proofErr w:type="spellStart"/>
      <w:r w:rsidR="00FF3DCD">
        <w:rPr>
          <w:sz w:val="22"/>
          <w:szCs w:val="22"/>
        </w:rPr>
        <w:t>DPI</w:t>
      </w:r>
      <w:r w:rsidR="00FF3DCD" w:rsidRPr="006D120B">
        <w:rPr>
          <w:sz w:val="22"/>
          <w:szCs w:val="22"/>
          <w:vertAlign w:val="subscript"/>
        </w:rPr>
        <w:t>opt</w:t>
      </w:r>
      <w:proofErr w:type="spellEnd"/>
      <w:r w:rsidR="00FF3DCD">
        <w:rPr>
          <w:sz w:val="22"/>
          <w:szCs w:val="22"/>
        </w:rPr>
        <w:t xml:space="preserve"> increased as </w:t>
      </w:r>
      <w:proofErr w:type="spellStart"/>
      <w:r w:rsidR="00FF3DCD">
        <w:rPr>
          <w:sz w:val="22"/>
          <w:szCs w:val="22"/>
        </w:rPr>
        <w:t>mold</w:t>
      </w:r>
      <w:proofErr w:type="spellEnd"/>
      <w:r w:rsidR="00FF3DCD">
        <w:rPr>
          <w:sz w:val="22"/>
          <w:szCs w:val="22"/>
        </w:rPr>
        <w:t xml:space="preserve">-to-cone diameter increased. </w:t>
      </w:r>
      <w:r w:rsidR="00A255BB">
        <w:rPr>
          <w:sz w:val="22"/>
          <w:szCs w:val="22"/>
        </w:rPr>
        <w:t>The normalized curves f</w:t>
      </w:r>
      <w:r w:rsidR="00093189">
        <w:rPr>
          <w:sz w:val="22"/>
          <w:szCs w:val="22"/>
        </w:rPr>
        <w:t>or both lateritic soil samples test</w:t>
      </w:r>
      <w:r w:rsidR="00A255BB">
        <w:rPr>
          <w:sz w:val="22"/>
          <w:szCs w:val="22"/>
        </w:rPr>
        <w:t xml:space="preserve">ed in this study and </w:t>
      </w:r>
      <w:r w:rsidR="00093189">
        <w:rPr>
          <w:sz w:val="22"/>
          <w:szCs w:val="22"/>
        </w:rPr>
        <w:t xml:space="preserve">those </w:t>
      </w:r>
      <w:r w:rsidR="00A255BB">
        <w:rPr>
          <w:sz w:val="22"/>
          <w:szCs w:val="22"/>
        </w:rPr>
        <w:t xml:space="preserve">in </w:t>
      </w:r>
      <w:r w:rsidR="00EA2E33">
        <w:rPr>
          <w:sz w:val="22"/>
          <w:szCs w:val="22"/>
        </w:rPr>
        <w:t>[13</w:t>
      </w:r>
      <w:r w:rsidR="00093189">
        <w:rPr>
          <w:sz w:val="22"/>
          <w:szCs w:val="22"/>
        </w:rPr>
        <w:t>] were</w:t>
      </w:r>
      <w:r w:rsidR="00A255BB">
        <w:rPr>
          <w:sz w:val="22"/>
          <w:szCs w:val="22"/>
        </w:rPr>
        <w:t xml:space="preserve"> </w:t>
      </w:r>
      <w:r w:rsidR="00571D31">
        <w:rPr>
          <w:sz w:val="22"/>
          <w:szCs w:val="22"/>
        </w:rPr>
        <w:t xml:space="preserve">remarkably </w:t>
      </w:r>
      <w:r w:rsidR="00A255BB">
        <w:rPr>
          <w:sz w:val="22"/>
          <w:szCs w:val="22"/>
        </w:rPr>
        <w:t xml:space="preserve">close </w:t>
      </w:r>
      <w:r w:rsidR="00571D31">
        <w:rPr>
          <w:sz w:val="22"/>
          <w:szCs w:val="22"/>
        </w:rPr>
        <w:t>to each other</w:t>
      </w:r>
      <w:r w:rsidR="00A255BB">
        <w:rPr>
          <w:sz w:val="22"/>
          <w:szCs w:val="22"/>
        </w:rPr>
        <w:t xml:space="preserve"> for the ratio of </w:t>
      </w:r>
      <w:proofErr w:type="spellStart"/>
      <w:r w:rsidR="00A255BB">
        <w:rPr>
          <w:sz w:val="22"/>
          <w:szCs w:val="22"/>
        </w:rPr>
        <w:t>mold</w:t>
      </w:r>
      <w:proofErr w:type="spellEnd"/>
      <w:r w:rsidR="00A255BB">
        <w:rPr>
          <w:sz w:val="22"/>
          <w:szCs w:val="22"/>
        </w:rPr>
        <w:t xml:space="preserve">-to-cone diameter ranging from 7.5 to 15. </w:t>
      </w:r>
      <w:r w:rsidR="008A649D">
        <w:rPr>
          <w:sz w:val="22"/>
          <w:szCs w:val="22"/>
        </w:rPr>
        <w:t xml:space="preserve">The normalized </w:t>
      </w:r>
      <w:proofErr w:type="spellStart"/>
      <w:r w:rsidR="008A649D">
        <w:rPr>
          <w:sz w:val="22"/>
          <w:szCs w:val="22"/>
        </w:rPr>
        <w:t>DPI</w:t>
      </w:r>
      <w:r w:rsidR="008A649D" w:rsidRPr="0005712E">
        <w:rPr>
          <w:sz w:val="22"/>
          <w:szCs w:val="22"/>
          <w:vertAlign w:val="subscript"/>
        </w:rPr>
        <w:t>opt</w:t>
      </w:r>
      <w:proofErr w:type="spellEnd"/>
      <w:r w:rsidR="008A649D">
        <w:rPr>
          <w:sz w:val="22"/>
          <w:szCs w:val="22"/>
        </w:rPr>
        <w:t xml:space="preserve"> became almost constant </w:t>
      </w:r>
      <w:r w:rsidR="0005712E">
        <w:rPr>
          <w:sz w:val="22"/>
          <w:szCs w:val="22"/>
        </w:rPr>
        <w:t>(</w:t>
      </w:r>
      <w:r w:rsidR="005C1ED6">
        <w:rPr>
          <w:sz w:val="22"/>
          <w:szCs w:val="22"/>
        </w:rPr>
        <w:sym w:font="Symbol" w:char="F07E"/>
      </w:r>
      <w:r w:rsidR="0005712E">
        <w:rPr>
          <w:sz w:val="22"/>
          <w:szCs w:val="22"/>
        </w:rPr>
        <w:t xml:space="preserve">2.00) </w:t>
      </w:r>
      <w:r w:rsidR="008A649D">
        <w:rPr>
          <w:sz w:val="22"/>
          <w:szCs w:val="22"/>
        </w:rPr>
        <w:t xml:space="preserve">as the ratio of </w:t>
      </w:r>
      <w:proofErr w:type="spellStart"/>
      <w:r w:rsidR="008A649D">
        <w:rPr>
          <w:sz w:val="22"/>
          <w:szCs w:val="22"/>
        </w:rPr>
        <w:t>mold</w:t>
      </w:r>
      <w:proofErr w:type="spellEnd"/>
      <w:r w:rsidR="008A649D">
        <w:rPr>
          <w:sz w:val="22"/>
          <w:szCs w:val="22"/>
        </w:rPr>
        <w:t xml:space="preserve">-to-cone diameter </w:t>
      </w:r>
      <w:r w:rsidR="0005712E">
        <w:rPr>
          <w:sz w:val="22"/>
          <w:szCs w:val="22"/>
        </w:rPr>
        <w:t xml:space="preserve">increased to 25. </w:t>
      </w:r>
      <w:r w:rsidR="00093189">
        <w:rPr>
          <w:sz w:val="22"/>
          <w:szCs w:val="22"/>
        </w:rPr>
        <w:t>A slight</w:t>
      </w:r>
      <w:r w:rsidR="00A255BB">
        <w:rPr>
          <w:sz w:val="22"/>
          <w:szCs w:val="22"/>
        </w:rPr>
        <w:t xml:space="preserve"> difference in normalized curve was observed between sand and lateritic soil samples. </w:t>
      </w:r>
      <w:r w:rsidR="004D3F57">
        <w:rPr>
          <w:sz w:val="22"/>
          <w:szCs w:val="22"/>
        </w:rPr>
        <w:t xml:space="preserve">Results suggested that the effect of soil type on the normalized </w:t>
      </w:r>
      <w:proofErr w:type="spellStart"/>
      <w:r w:rsidR="004D3F57">
        <w:rPr>
          <w:sz w:val="22"/>
          <w:szCs w:val="22"/>
        </w:rPr>
        <w:t>DPI</w:t>
      </w:r>
      <w:r w:rsidR="004D3F57" w:rsidRPr="00093189">
        <w:rPr>
          <w:sz w:val="22"/>
          <w:szCs w:val="22"/>
          <w:vertAlign w:val="subscript"/>
        </w:rPr>
        <w:t>opt</w:t>
      </w:r>
      <w:proofErr w:type="spellEnd"/>
      <w:r w:rsidR="004D3F57">
        <w:rPr>
          <w:sz w:val="22"/>
          <w:szCs w:val="22"/>
        </w:rPr>
        <w:t xml:space="preserve">-ratio of </w:t>
      </w:r>
      <w:proofErr w:type="spellStart"/>
      <w:r w:rsidR="004D3F57">
        <w:rPr>
          <w:sz w:val="22"/>
          <w:szCs w:val="22"/>
        </w:rPr>
        <w:t>mold</w:t>
      </w:r>
      <w:proofErr w:type="spellEnd"/>
      <w:r w:rsidR="004D3F57">
        <w:rPr>
          <w:sz w:val="22"/>
          <w:szCs w:val="22"/>
        </w:rPr>
        <w:t xml:space="preserve">-to-cone diameter could be </w:t>
      </w:r>
      <w:r w:rsidR="00093189">
        <w:rPr>
          <w:sz w:val="22"/>
          <w:szCs w:val="22"/>
        </w:rPr>
        <w:t xml:space="preserve">less </w:t>
      </w:r>
      <w:r w:rsidR="004D3F57">
        <w:rPr>
          <w:sz w:val="22"/>
          <w:szCs w:val="22"/>
        </w:rPr>
        <w:t>significant</w:t>
      </w:r>
      <w:r w:rsidR="00571D31">
        <w:rPr>
          <w:sz w:val="22"/>
          <w:szCs w:val="22"/>
        </w:rPr>
        <w:t>,</w:t>
      </w:r>
      <w:r w:rsidR="004D3F57">
        <w:rPr>
          <w:sz w:val="22"/>
          <w:szCs w:val="22"/>
        </w:rPr>
        <w:t xml:space="preserve"> </w:t>
      </w:r>
      <w:r w:rsidR="00571D31">
        <w:rPr>
          <w:sz w:val="22"/>
          <w:szCs w:val="22"/>
        </w:rPr>
        <w:t xml:space="preserve">which was </w:t>
      </w:r>
      <w:r w:rsidR="00093189">
        <w:rPr>
          <w:sz w:val="22"/>
          <w:szCs w:val="22"/>
        </w:rPr>
        <w:t>similar</w:t>
      </w:r>
      <w:r w:rsidR="004D3F57">
        <w:rPr>
          <w:sz w:val="22"/>
          <w:szCs w:val="22"/>
        </w:rPr>
        <w:t xml:space="preserve"> to that of compaction lev</w:t>
      </w:r>
      <w:r w:rsidR="00EA2E33">
        <w:rPr>
          <w:sz w:val="22"/>
          <w:szCs w:val="22"/>
        </w:rPr>
        <w:t>el observed in [13</w:t>
      </w:r>
      <w:r w:rsidR="004D3F57">
        <w:rPr>
          <w:sz w:val="22"/>
          <w:szCs w:val="22"/>
        </w:rPr>
        <w:t>].</w:t>
      </w:r>
      <w:r w:rsidR="006D120B">
        <w:rPr>
          <w:sz w:val="22"/>
          <w:szCs w:val="22"/>
        </w:rPr>
        <w:t xml:space="preserve"> </w:t>
      </w:r>
    </w:p>
    <w:p w:rsidR="00F80AE9" w:rsidRDefault="00F80AE9" w:rsidP="00ED3EAB">
      <w:pPr>
        <w:ind w:firstLine="0"/>
        <w:contextualSpacing/>
        <w:mirrorIndents/>
        <w:rPr>
          <w:sz w:val="22"/>
          <w:szCs w:val="22"/>
        </w:rPr>
      </w:pPr>
    </w:p>
    <w:p w:rsidR="00ED3EAB" w:rsidRDefault="00ED6805" w:rsidP="00ED3EAB">
      <w:pPr>
        <w:ind w:firstLine="0"/>
        <w:contextualSpacing/>
        <w:mirrorIndents/>
        <w:jc w:val="center"/>
        <w:rPr>
          <w:sz w:val="22"/>
          <w:szCs w:val="22"/>
        </w:rPr>
      </w:pPr>
      <w:r w:rsidRPr="00ED6805">
        <w:lastRenderedPageBreak/>
        <w:drawing>
          <wp:inline distT="0" distB="0" distL="0" distR="0">
            <wp:extent cx="4818888" cy="28803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88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85" w:rsidRDefault="002D0585" w:rsidP="00BD27C0">
      <w:pPr>
        <w:ind w:firstLine="397"/>
        <w:contextualSpacing/>
        <w:mirrorIndents/>
        <w:jc w:val="center"/>
        <w:rPr>
          <w:sz w:val="22"/>
          <w:szCs w:val="22"/>
        </w:rPr>
      </w:pPr>
    </w:p>
    <w:p w:rsidR="00EA2E33" w:rsidRPr="00AA6043" w:rsidRDefault="00C84E3C" w:rsidP="00BD27C0">
      <w:pPr>
        <w:ind w:firstLine="397"/>
        <w:contextualSpacing/>
        <w:mirrorIndents/>
        <w:jc w:val="center"/>
        <w:rPr>
          <w:sz w:val="20"/>
        </w:rPr>
      </w:pPr>
      <w:r w:rsidRPr="00AA6043">
        <w:rPr>
          <w:sz w:val="20"/>
        </w:rPr>
        <w:t>Fig. 1</w:t>
      </w:r>
      <w:r w:rsidR="00AA6043" w:rsidRPr="00AA6043">
        <w:rPr>
          <w:sz w:val="20"/>
        </w:rPr>
        <w:t>:</w:t>
      </w:r>
      <w:r w:rsidRPr="00AA6043">
        <w:rPr>
          <w:sz w:val="20"/>
        </w:rPr>
        <w:t xml:space="preserve"> </w:t>
      </w:r>
      <w:proofErr w:type="spellStart"/>
      <w:r w:rsidRPr="00AA6043">
        <w:rPr>
          <w:sz w:val="20"/>
        </w:rPr>
        <w:t>DPI</w:t>
      </w:r>
      <w:r w:rsidRPr="00AA6043">
        <w:rPr>
          <w:sz w:val="20"/>
          <w:vertAlign w:val="subscript"/>
        </w:rPr>
        <w:t>opt</w:t>
      </w:r>
      <w:proofErr w:type="spellEnd"/>
      <w:r w:rsidRPr="00AA6043">
        <w:rPr>
          <w:sz w:val="20"/>
        </w:rPr>
        <w:t xml:space="preserve"> vs. ratio of </w:t>
      </w:r>
      <w:proofErr w:type="spellStart"/>
      <w:r w:rsidRPr="00AA6043">
        <w:rPr>
          <w:sz w:val="20"/>
        </w:rPr>
        <w:t>mold</w:t>
      </w:r>
      <w:proofErr w:type="spellEnd"/>
      <w:r w:rsidRPr="00AA6043">
        <w:rPr>
          <w:sz w:val="20"/>
        </w:rPr>
        <w:t>-to-cone diameter.</w:t>
      </w:r>
    </w:p>
    <w:p w:rsidR="00EA2E33" w:rsidRDefault="00EA2E33" w:rsidP="00BD27C0">
      <w:pPr>
        <w:ind w:firstLine="397"/>
        <w:contextualSpacing/>
        <w:mirrorIndents/>
        <w:jc w:val="center"/>
        <w:rPr>
          <w:sz w:val="22"/>
          <w:szCs w:val="22"/>
        </w:rPr>
      </w:pPr>
    </w:p>
    <w:p w:rsidR="00ED3EAB" w:rsidRDefault="00ED6805" w:rsidP="00ED3EAB">
      <w:pPr>
        <w:ind w:firstLine="0"/>
        <w:contextualSpacing/>
        <w:mirrorIndents/>
        <w:jc w:val="center"/>
        <w:rPr>
          <w:sz w:val="22"/>
          <w:szCs w:val="22"/>
        </w:rPr>
      </w:pPr>
      <w:r w:rsidRPr="00ED6805">
        <w:drawing>
          <wp:inline distT="0" distB="0" distL="0" distR="0">
            <wp:extent cx="4809744" cy="2880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4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AB" w:rsidRDefault="00ED3EAB" w:rsidP="00BD27C0">
      <w:pPr>
        <w:ind w:firstLine="397"/>
        <w:contextualSpacing/>
        <w:mirrorIndents/>
        <w:jc w:val="center"/>
        <w:rPr>
          <w:sz w:val="22"/>
          <w:szCs w:val="22"/>
        </w:rPr>
      </w:pPr>
    </w:p>
    <w:p w:rsidR="00EA2E33" w:rsidRPr="00AA6043" w:rsidRDefault="00EA2E33" w:rsidP="00BD27C0">
      <w:pPr>
        <w:ind w:firstLine="397"/>
        <w:contextualSpacing/>
        <w:mirrorIndents/>
        <w:jc w:val="center"/>
        <w:rPr>
          <w:sz w:val="20"/>
        </w:rPr>
      </w:pPr>
      <w:r w:rsidRPr="00AA6043">
        <w:rPr>
          <w:sz w:val="20"/>
        </w:rPr>
        <w:t xml:space="preserve">Fig. </w:t>
      </w:r>
      <w:r w:rsidR="00C84E3C" w:rsidRPr="00AA6043">
        <w:rPr>
          <w:sz w:val="20"/>
        </w:rPr>
        <w:t>2</w:t>
      </w:r>
      <w:r w:rsidR="00AA6043">
        <w:rPr>
          <w:sz w:val="20"/>
        </w:rPr>
        <w:t>:</w:t>
      </w:r>
      <w:r w:rsidRPr="00AA6043">
        <w:rPr>
          <w:sz w:val="20"/>
        </w:rPr>
        <w:t xml:space="preserve"> </w:t>
      </w:r>
      <w:r w:rsidR="00C84E3C" w:rsidRPr="00AA6043">
        <w:rPr>
          <w:sz w:val="20"/>
        </w:rPr>
        <w:t xml:space="preserve">Normalized </w:t>
      </w:r>
      <w:proofErr w:type="spellStart"/>
      <w:r w:rsidR="00C84E3C" w:rsidRPr="00AA6043">
        <w:rPr>
          <w:sz w:val="20"/>
        </w:rPr>
        <w:t>DPI</w:t>
      </w:r>
      <w:r w:rsidR="00C84E3C" w:rsidRPr="00AA6043">
        <w:rPr>
          <w:sz w:val="20"/>
          <w:vertAlign w:val="subscript"/>
        </w:rPr>
        <w:t>opt</w:t>
      </w:r>
      <w:proofErr w:type="spellEnd"/>
      <w:r w:rsidR="00C84E3C" w:rsidRPr="00AA6043">
        <w:rPr>
          <w:sz w:val="20"/>
        </w:rPr>
        <w:t xml:space="preserve"> vs. ratio of </w:t>
      </w:r>
      <w:proofErr w:type="spellStart"/>
      <w:r w:rsidR="00C84E3C" w:rsidRPr="00AA6043">
        <w:rPr>
          <w:sz w:val="20"/>
        </w:rPr>
        <w:t>mold</w:t>
      </w:r>
      <w:proofErr w:type="spellEnd"/>
      <w:r w:rsidR="00C84E3C" w:rsidRPr="00AA6043">
        <w:rPr>
          <w:sz w:val="20"/>
        </w:rPr>
        <w:t>-to-cone diameter.</w:t>
      </w:r>
    </w:p>
    <w:p w:rsidR="002D0585" w:rsidRDefault="002D0585" w:rsidP="006D0AE6">
      <w:pPr>
        <w:ind w:firstLine="397"/>
        <w:contextualSpacing/>
        <w:mirrorIndents/>
        <w:rPr>
          <w:sz w:val="22"/>
          <w:szCs w:val="22"/>
        </w:rPr>
      </w:pPr>
    </w:p>
    <w:p w:rsidR="00D115B4" w:rsidRPr="00922520" w:rsidRDefault="00D115B4" w:rsidP="00D115B4">
      <w:pPr>
        <w:ind w:firstLine="0"/>
        <w:contextualSpacing/>
        <w:mirrorIndents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Conclusions</w:t>
      </w:r>
      <w:r w:rsidR="00D17B14">
        <w:rPr>
          <w:rFonts w:ascii="Arial" w:hAnsi="Arial" w:cs="Arial"/>
          <w:b/>
          <w:szCs w:val="24"/>
        </w:rPr>
        <w:t xml:space="preserve"> and Recommendations</w:t>
      </w:r>
    </w:p>
    <w:p w:rsidR="009533B9" w:rsidRDefault="009533B9" w:rsidP="009533B9">
      <w:pPr>
        <w:ind w:firstLine="397"/>
        <w:mirrorIndents/>
        <w:rPr>
          <w:sz w:val="22"/>
          <w:szCs w:val="22"/>
        </w:rPr>
      </w:pPr>
      <w:r>
        <w:rPr>
          <w:sz w:val="22"/>
          <w:szCs w:val="22"/>
        </w:rPr>
        <w:t>T</w:t>
      </w:r>
      <w:r w:rsidR="005E2429">
        <w:rPr>
          <w:sz w:val="22"/>
          <w:szCs w:val="22"/>
        </w:rPr>
        <w:t>he effect of boundary conditions</w:t>
      </w:r>
      <w:r>
        <w:rPr>
          <w:sz w:val="22"/>
          <w:szCs w:val="22"/>
        </w:rPr>
        <w:t xml:space="preserve"> (e.g. </w:t>
      </w:r>
      <w:proofErr w:type="spellStart"/>
      <w:r>
        <w:rPr>
          <w:sz w:val="22"/>
          <w:szCs w:val="22"/>
        </w:rPr>
        <w:t>mold</w:t>
      </w:r>
      <w:proofErr w:type="spellEnd"/>
      <w:r>
        <w:rPr>
          <w:sz w:val="22"/>
          <w:szCs w:val="22"/>
        </w:rPr>
        <w:t xml:space="preserve"> diameter)</w:t>
      </w:r>
      <w:r w:rsidRPr="009533B9">
        <w:rPr>
          <w:sz w:val="22"/>
          <w:szCs w:val="22"/>
        </w:rPr>
        <w:t xml:space="preserve"> on the DCP test on sand and lateritic soil samples </w:t>
      </w:r>
      <w:r w:rsidR="003F7C16">
        <w:rPr>
          <w:sz w:val="22"/>
          <w:szCs w:val="22"/>
        </w:rPr>
        <w:t>compacted</w:t>
      </w:r>
      <w:r w:rsidRPr="009533B9">
        <w:rPr>
          <w:sz w:val="22"/>
          <w:szCs w:val="22"/>
        </w:rPr>
        <w:t xml:space="preserve"> near the optimum moisture content using a modified compaction effort</w:t>
      </w:r>
      <w:r>
        <w:rPr>
          <w:sz w:val="22"/>
          <w:szCs w:val="22"/>
        </w:rPr>
        <w:t xml:space="preserve"> </w:t>
      </w:r>
      <w:r w:rsidR="002F18B9">
        <w:rPr>
          <w:sz w:val="22"/>
          <w:szCs w:val="22"/>
        </w:rPr>
        <w:t>was investigated in this study. T</w:t>
      </w:r>
      <w:r w:rsidR="003F7C16">
        <w:rPr>
          <w:sz w:val="22"/>
          <w:szCs w:val="22"/>
        </w:rPr>
        <w:t xml:space="preserve">he </w:t>
      </w:r>
      <w:r w:rsidR="003F7C16" w:rsidRPr="003F7C16">
        <w:rPr>
          <w:sz w:val="22"/>
          <w:szCs w:val="22"/>
        </w:rPr>
        <w:t xml:space="preserve">metal </w:t>
      </w:r>
      <w:proofErr w:type="spellStart"/>
      <w:r w:rsidR="003F7C16" w:rsidRPr="003F7C16">
        <w:rPr>
          <w:sz w:val="22"/>
          <w:szCs w:val="22"/>
        </w:rPr>
        <w:t>molds</w:t>
      </w:r>
      <w:proofErr w:type="spellEnd"/>
      <w:r w:rsidR="003F7C16" w:rsidRPr="003F7C16">
        <w:rPr>
          <w:sz w:val="22"/>
          <w:szCs w:val="22"/>
        </w:rPr>
        <w:t xml:space="preserve"> having diameters of 150, 200, and </w:t>
      </w:r>
      <w:r w:rsidR="003F7C16">
        <w:rPr>
          <w:sz w:val="22"/>
          <w:szCs w:val="22"/>
        </w:rPr>
        <w:t>300 mm</w:t>
      </w:r>
      <w:r w:rsidR="002F18B9">
        <w:rPr>
          <w:sz w:val="22"/>
          <w:szCs w:val="22"/>
        </w:rPr>
        <w:t xml:space="preserve"> were used </w:t>
      </w:r>
      <w:r w:rsidR="00E55E2E">
        <w:rPr>
          <w:sz w:val="22"/>
          <w:szCs w:val="22"/>
        </w:rPr>
        <w:t xml:space="preserve">in preparing samples </w:t>
      </w:r>
      <w:r w:rsidR="002F18B9">
        <w:rPr>
          <w:sz w:val="22"/>
          <w:szCs w:val="22"/>
        </w:rPr>
        <w:t>for this purpose</w:t>
      </w:r>
      <w:r>
        <w:rPr>
          <w:sz w:val="22"/>
          <w:szCs w:val="22"/>
        </w:rPr>
        <w:t xml:space="preserve">. </w:t>
      </w:r>
      <w:r w:rsidR="00B15F1F">
        <w:rPr>
          <w:sz w:val="22"/>
          <w:szCs w:val="22"/>
        </w:rPr>
        <w:t xml:space="preserve">Studies suggested </w:t>
      </w:r>
      <w:r w:rsidR="00E55E2E">
        <w:rPr>
          <w:sz w:val="22"/>
          <w:szCs w:val="22"/>
        </w:rPr>
        <w:t>that t</w:t>
      </w:r>
      <w:r w:rsidR="005C1ED6">
        <w:rPr>
          <w:sz w:val="22"/>
          <w:szCs w:val="22"/>
        </w:rPr>
        <w:t xml:space="preserve">he </w:t>
      </w:r>
      <w:proofErr w:type="spellStart"/>
      <w:r w:rsidR="005C1ED6">
        <w:rPr>
          <w:sz w:val="22"/>
          <w:szCs w:val="22"/>
        </w:rPr>
        <w:t>DPI</w:t>
      </w:r>
      <w:r w:rsidR="005C1ED6" w:rsidRPr="005C1ED6">
        <w:rPr>
          <w:sz w:val="22"/>
          <w:szCs w:val="22"/>
          <w:vertAlign w:val="subscript"/>
        </w:rPr>
        <w:t>opt</w:t>
      </w:r>
      <w:proofErr w:type="spellEnd"/>
      <w:r w:rsidR="005C1ED6">
        <w:rPr>
          <w:sz w:val="22"/>
          <w:szCs w:val="22"/>
        </w:rPr>
        <w:t xml:space="preserve"> increased with the ratio of </w:t>
      </w:r>
      <w:proofErr w:type="spellStart"/>
      <w:r w:rsidR="005C1ED6">
        <w:rPr>
          <w:sz w:val="22"/>
          <w:szCs w:val="22"/>
        </w:rPr>
        <w:t>mold</w:t>
      </w:r>
      <w:proofErr w:type="spellEnd"/>
      <w:r w:rsidR="005C1ED6">
        <w:rPr>
          <w:sz w:val="22"/>
          <w:szCs w:val="22"/>
        </w:rPr>
        <w:t xml:space="preserve">-to-cone diameter for both sand and lateritic soil samples. </w:t>
      </w:r>
      <w:r w:rsidR="00AC7AF2">
        <w:rPr>
          <w:sz w:val="22"/>
          <w:szCs w:val="22"/>
        </w:rPr>
        <w:t xml:space="preserve">There existed </w:t>
      </w:r>
      <w:r w:rsidR="008073AD">
        <w:rPr>
          <w:sz w:val="22"/>
          <w:szCs w:val="22"/>
        </w:rPr>
        <w:t>slightly</w:t>
      </w:r>
      <w:r w:rsidR="00AC7AF2">
        <w:rPr>
          <w:sz w:val="22"/>
          <w:szCs w:val="22"/>
        </w:rPr>
        <w:t xml:space="preserve"> difference in increasing trends between sand and lateritic soil. </w:t>
      </w:r>
      <w:r w:rsidR="008252DD">
        <w:rPr>
          <w:sz w:val="22"/>
          <w:szCs w:val="22"/>
        </w:rPr>
        <w:t xml:space="preserve">Results </w:t>
      </w:r>
      <w:r w:rsidR="00AC7AF2">
        <w:rPr>
          <w:sz w:val="22"/>
          <w:szCs w:val="22"/>
        </w:rPr>
        <w:t>obtained in</w:t>
      </w:r>
      <w:r w:rsidR="008252DD">
        <w:rPr>
          <w:sz w:val="22"/>
          <w:szCs w:val="22"/>
        </w:rPr>
        <w:t xml:space="preserve"> this study were</w:t>
      </w:r>
      <w:r w:rsidR="00EA2E33">
        <w:rPr>
          <w:sz w:val="22"/>
          <w:szCs w:val="22"/>
        </w:rPr>
        <w:t xml:space="preserve"> compared with [13</w:t>
      </w:r>
      <w:r w:rsidR="008252DD">
        <w:rPr>
          <w:sz w:val="22"/>
          <w:szCs w:val="22"/>
        </w:rPr>
        <w:t xml:space="preserve">], </w:t>
      </w:r>
      <w:r w:rsidR="008252DD">
        <w:rPr>
          <w:sz w:val="22"/>
          <w:szCs w:val="22"/>
        </w:rPr>
        <w:lastRenderedPageBreak/>
        <w:t xml:space="preserve">which </w:t>
      </w:r>
      <w:r w:rsidR="0045462D">
        <w:rPr>
          <w:sz w:val="22"/>
          <w:szCs w:val="22"/>
        </w:rPr>
        <w:t xml:space="preserve">also </w:t>
      </w:r>
      <w:r w:rsidR="008252DD">
        <w:rPr>
          <w:sz w:val="22"/>
          <w:szCs w:val="22"/>
        </w:rPr>
        <w:t xml:space="preserve">used the similar lateritic soil. </w:t>
      </w:r>
      <w:r w:rsidR="0045462D">
        <w:rPr>
          <w:sz w:val="22"/>
          <w:szCs w:val="22"/>
        </w:rPr>
        <w:t>For the case of the lateritic soil sample, t</w:t>
      </w:r>
      <w:r w:rsidR="008252DD">
        <w:rPr>
          <w:sz w:val="22"/>
          <w:szCs w:val="22"/>
        </w:rPr>
        <w:t xml:space="preserve">he </w:t>
      </w:r>
      <w:proofErr w:type="spellStart"/>
      <w:r w:rsidR="008252DD">
        <w:rPr>
          <w:sz w:val="22"/>
          <w:szCs w:val="22"/>
        </w:rPr>
        <w:t>DPI</w:t>
      </w:r>
      <w:r w:rsidR="008252DD" w:rsidRPr="008252DD">
        <w:rPr>
          <w:sz w:val="22"/>
          <w:szCs w:val="22"/>
          <w:vertAlign w:val="subscript"/>
        </w:rPr>
        <w:t>opt</w:t>
      </w:r>
      <w:proofErr w:type="spellEnd"/>
      <w:r w:rsidR="008252DD">
        <w:rPr>
          <w:sz w:val="22"/>
          <w:szCs w:val="22"/>
        </w:rPr>
        <w:t xml:space="preserve"> values obtained in varied </w:t>
      </w:r>
      <w:proofErr w:type="spellStart"/>
      <w:r w:rsidR="008252DD">
        <w:rPr>
          <w:sz w:val="22"/>
          <w:szCs w:val="22"/>
        </w:rPr>
        <w:t>mold</w:t>
      </w:r>
      <w:proofErr w:type="spellEnd"/>
      <w:r w:rsidR="008252DD">
        <w:rPr>
          <w:sz w:val="22"/>
          <w:szCs w:val="22"/>
        </w:rPr>
        <w:t xml:space="preserve"> diameters divided by the </w:t>
      </w:r>
      <w:proofErr w:type="spellStart"/>
      <w:r w:rsidR="008252DD">
        <w:rPr>
          <w:sz w:val="22"/>
          <w:szCs w:val="22"/>
        </w:rPr>
        <w:t>DPI</w:t>
      </w:r>
      <w:r w:rsidR="008252DD" w:rsidRPr="008252DD">
        <w:rPr>
          <w:sz w:val="22"/>
          <w:szCs w:val="22"/>
          <w:vertAlign w:val="subscript"/>
        </w:rPr>
        <w:t>opt</w:t>
      </w:r>
      <w:proofErr w:type="spellEnd"/>
      <w:r w:rsidR="008252DD">
        <w:rPr>
          <w:sz w:val="22"/>
          <w:szCs w:val="22"/>
        </w:rPr>
        <w:t xml:space="preserve"> obtained in a 150-mm diameter metal </w:t>
      </w:r>
      <w:proofErr w:type="spellStart"/>
      <w:r w:rsidR="008252DD">
        <w:rPr>
          <w:sz w:val="22"/>
          <w:szCs w:val="22"/>
        </w:rPr>
        <w:t>mold</w:t>
      </w:r>
      <w:proofErr w:type="spellEnd"/>
      <w:r w:rsidR="008252DD">
        <w:rPr>
          <w:sz w:val="22"/>
          <w:szCs w:val="22"/>
        </w:rPr>
        <w:t xml:space="preserve"> (i.e. conventional CBR </w:t>
      </w:r>
      <w:proofErr w:type="spellStart"/>
      <w:r w:rsidR="008252DD">
        <w:rPr>
          <w:sz w:val="22"/>
          <w:szCs w:val="22"/>
        </w:rPr>
        <w:t>mold</w:t>
      </w:r>
      <w:proofErr w:type="spellEnd"/>
      <w:r w:rsidR="008252DD">
        <w:rPr>
          <w:sz w:val="22"/>
          <w:szCs w:val="22"/>
        </w:rPr>
        <w:t xml:space="preserve">) </w:t>
      </w:r>
      <w:r w:rsidR="00ED222E">
        <w:rPr>
          <w:sz w:val="22"/>
          <w:szCs w:val="22"/>
        </w:rPr>
        <w:t xml:space="preserve">increased </w:t>
      </w:r>
      <w:r w:rsidR="0045462D">
        <w:rPr>
          <w:sz w:val="22"/>
          <w:szCs w:val="22"/>
        </w:rPr>
        <w:t xml:space="preserve">as the ratio of </w:t>
      </w:r>
      <w:proofErr w:type="spellStart"/>
      <w:r w:rsidR="0045462D">
        <w:rPr>
          <w:sz w:val="22"/>
          <w:szCs w:val="22"/>
        </w:rPr>
        <w:t>mold</w:t>
      </w:r>
      <w:proofErr w:type="spellEnd"/>
      <w:r w:rsidR="0045462D">
        <w:rPr>
          <w:sz w:val="22"/>
          <w:szCs w:val="22"/>
        </w:rPr>
        <w:t xml:space="preserve">-to-cone diameter </w:t>
      </w:r>
      <w:r w:rsidR="00FB65BF">
        <w:rPr>
          <w:sz w:val="22"/>
          <w:szCs w:val="22"/>
        </w:rPr>
        <w:t xml:space="preserve">increased, which was in good agreement with </w:t>
      </w:r>
      <w:r w:rsidR="00EA2E33">
        <w:rPr>
          <w:sz w:val="22"/>
          <w:szCs w:val="22"/>
        </w:rPr>
        <w:t>[13]</w:t>
      </w:r>
      <w:r w:rsidR="00FB65BF">
        <w:rPr>
          <w:sz w:val="22"/>
          <w:szCs w:val="22"/>
        </w:rPr>
        <w:t>.</w:t>
      </w:r>
      <w:r w:rsidR="00646969">
        <w:rPr>
          <w:sz w:val="22"/>
          <w:szCs w:val="22"/>
        </w:rPr>
        <w:t xml:space="preserve"> </w:t>
      </w:r>
      <w:r w:rsidR="0059535B">
        <w:rPr>
          <w:sz w:val="22"/>
          <w:szCs w:val="22"/>
        </w:rPr>
        <w:t xml:space="preserve">This study also confirmed the implication of the </w:t>
      </w:r>
      <w:r w:rsidR="005E2429">
        <w:rPr>
          <w:sz w:val="22"/>
          <w:szCs w:val="22"/>
        </w:rPr>
        <w:t>boundary condition</w:t>
      </w:r>
      <w:r w:rsidR="0059535B">
        <w:rPr>
          <w:sz w:val="22"/>
          <w:szCs w:val="22"/>
        </w:rPr>
        <w:t xml:space="preserve"> effect on the DCP test </w:t>
      </w:r>
      <w:r w:rsidR="00646969">
        <w:rPr>
          <w:sz w:val="22"/>
          <w:szCs w:val="22"/>
        </w:rPr>
        <w:t xml:space="preserve">and that the relationship between the normalized </w:t>
      </w:r>
      <w:proofErr w:type="spellStart"/>
      <w:r w:rsidR="00646969">
        <w:rPr>
          <w:sz w:val="22"/>
          <w:szCs w:val="22"/>
        </w:rPr>
        <w:t>DPI</w:t>
      </w:r>
      <w:r w:rsidR="00646969" w:rsidRPr="00646969">
        <w:rPr>
          <w:sz w:val="22"/>
          <w:szCs w:val="22"/>
          <w:vertAlign w:val="subscript"/>
        </w:rPr>
        <w:t>opt</w:t>
      </w:r>
      <w:proofErr w:type="spellEnd"/>
      <w:r w:rsidR="00646969">
        <w:rPr>
          <w:sz w:val="22"/>
          <w:szCs w:val="22"/>
        </w:rPr>
        <w:t xml:space="preserve"> and the ratio of </w:t>
      </w:r>
      <w:proofErr w:type="spellStart"/>
      <w:r w:rsidR="00646969">
        <w:rPr>
          <w:sz w:val="22"/>
          <w:szCs w:val="22"/>
        </w:rPr>
        <w:t>mold</w:t>
      </w:r>
      <w:proofErr w:type="spellEnd"/>
      <w:r w:rsidR="00646969">
        <w:rPr>
          <w:sz w:val="22"/>
          <w:szCs w:val="22"/>
        </w:rPr>
        <w:t>-to-cone diameter gradually became almost constant (</w:t>
      </w:r>
      <w:r w:rsidR="00646969">
        <w:rPr>
          <w:sz w:val="22"/>
          <w:szCs w:val="22"/>
        </w:rPr>
        <w:sym w:font="Symbol" w:char="F07E"/>
      </w:r>
      <w:r w:rsidR="00646969">
        <w:rPr>
          <w:sz w:val="22"/>
          <w:szCs w:val="22"/>
        </w:rPr>
        <w:t xml:space="preserve">2.00) at the ratio of </w:t>
      </w:r>
      <w:proofErr w:type="spellStart"/>
      <w:r w:rsidR="00646969">
        <w:rPr>
          <w:sz w:val="22"/>
          <w:szCs w:val="22"/>
        </w:rPr>
        <w:t>mold</w:t>
      </w:r>
      <w:proofErr w:type="spellEnd"/>
      <w:r w:rsidR="00646969">
        <w:rPr>
          <w:sz w:val="22"/>
          <w:szCs w:val="22"/>
        </w:rPr>
        <w:t>-to-cone diamet</w:t>
      </w:r>
      <w:r w:rsidR="008073AD">
        <w:rPr>
          <w:sz w:val="22"/>
          <w:szCs w:val="22"/>
        </w:rPr>
        <w:t xml:space="preserve">er exceeding about 25. Such implication could be applied </w:t>
      </w:r>
      <w:r w:rsidR="00646969">
        <w:rPr>
          <w:sz w:val="22"/>
          <w:szCs w:val="22"/>
        </w:rPr>
        <w:t xml:space="preserve">for </w:t>
      </w:r>
      <w:r w:rsidR="00B15F1F">
        <w:rPr>
          <w:sz w:val="22"/>
          <w:szCs w:val="22"/>
        </w:rPr>
        <w:t xml:space="preserve">the </w:t>
      </w:r>
      <w:r w:rsidR="008073AD">
        <w:rPr>
          <w:sz w:val="22"/>
          <w:szCs w:val="22"/>
        </w:rPr>
        <w:t>other soil types.</w:t>
      </w:r>
      <w:r w:rsidR="002B6321">
        <w:rPr>
          <w:sz w:val="22"/>
          <w:szCs w:val="22"/>
        </w:rPr>
        <w:t xml:space="preserve"> Further studies are </w:t>
      </w:r>
      <w:r w:rsidR="00571D31">
        <w:rPr>
          <w:sz w:val="22"/>
          <w:szCs w:val="22"/>
        </w:rPr>
        <w:t>necessary to confirm the study</w:t>
      </w:r>
      <w:r w:rsidR="00646969">
        <w:rPr>
          <w:sz w:val="22"/>
          <w:szCs w:val="22"/>
        </w:rPr>
        <w:t>.</w:t>
      </w:r>
    </w:p>
    <w:p w:rsidR="00D115B4" w:rsidRDefault="00D115B4" w:rsidP="00D115B4">
      <w:pPr>
        <w:ind w:firstLine="0"/>
        <w:contextualSpacing/>
        <w:mirrorIndents/>
        <w:rPr>
          <w:sz w:val="22"/>
          <w:szCs w:val="22"/>
        </w:rPr>
      </w:pPr>
    </w:p>
    <w:p w:rsidR="00A47C1A" w:rsidRPr="00922520" w:rsidRDefault="00A47C1A" w:rsidP="00976433">
      <w:pPr>
        <w:ind w:firstLine="0"/>
        <w:contextualSpacing/>
        <w:mirrorIndents/>
        <w:rPr>
          <w:rFonts w:ascii="Arial" w:hAnsi="Arial" w:cs="Arial"/>
          <w:b/>
          <w:szCs w:val="24"/>
        </w:rPr>
      </w:pPr>
      <w:r w:rsidRPr="00922520">
        <w:rPr>
          <w:rFonts w:ascii="Arial" w:hAnsi="Arial" w:cs="Arial"/>
          <w:b/>
          <w:szCs w:val="24"/>
        </w:rPr>
        <w:t>References</w:t>
      </w:r>
    </w:p>
    <w:p w:rsidR="00C8674D" w:rsidRPr="00146866" w:rsidRDefault="00146866" w:rsidP="00B21A4D">
      <w:pPr>
        <w:pStyle w:val="References"/>
        <w:numPr>
          <w:ilvl w:val="0"/>
          <w:numId w:val="18"/>
        </w:numPr>
        <w:autoSpaceDE w:val="0"/>
        <w:autoSpaceDN w:val="0"/>
        <w:spacing w:before="0" w:line="240" w:lineRule="auto"/>
        <w:ind w:left="357" w:hanging="357"/>
        <w:rPr>
          <w:sz w:val="22"/>
          <w:szCs w:val="22"/>
        </w:rPr>
      </w:pPr>
      <w:r>
        <w:rPr>
          <w:sz w:val="22"/>
          <w:szCs w:val="22"/>
        </w:rPr>
        <w:t>A.</w:t>
      </w:r>
      <w:r w:rsidRPr="00146866">
        <w:rPr>
          <w:sz w:val="22"/>
          <w:szCs w:val="22"/>
        </w:rPr>
        <w:t>J.</w:t>
      </w:r>
      <w:r>
        <w:rPr>
          <w:sz w:val="22"/>
          <w:szCs w:val="22"/>
        </w:rPr>
        <w:t xml:space="preserve"> </w:t>
      </w:r>
      <w:proofErr w:type="spellStart"/>
      <w:r w:rsidR="00C8674D" w:rsidRPr="00146866">
        <w:rPr>
          <w:sz w:val="22"/>
          <w:szCs w:val="22"/>
        </w:rPr>
        <w:t>Scala</w:t>
      </w:r>
      <w:proofErr w:type="spellEnd"/>
      <w:r w:rsidR="00C8674D" w:rsidRPr="00146866"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 w:rsidR="00EA2E33">
        <w:rPr>
          <w:sz w:val="22"/>
          <w:szCs w:val="22"/>
        </w:rPr>
        <w:t>Simple methods of flexible pavement design using cone p</w:t>
      </w:r>
      <w:r w:rsidR="00C8674D" w:rsidRPr="00146866">
        <w:rPr>
          <w:sz w:val="22"/>
          <w:szCs w:val="22"/>
        </w:rPr>
        <w:t>enetrometers</w:t>
      </w:r>
      <w:r w:rsidR="00EA2E33">
        <w:rPr>
          <w:sz w:val="22"/>
          <w:szCs w:val="22"/>
        </w:rPr>
        <w:t>,”</w:t>
      </w:r>
      <w:r w:rsidR="00C8674D" w:rsidRPr="00146866">
        <w:rPr>
          <w:sz w:val="22"/>
          <w:szCs w:val="22"/>
        </w:rPr>
        <w:t xml:space="preserve"> </w:t>
      </w:r>
      <w:r w:rsidR="00C8674D" w:rsidRPr="00146866">
        <w:rPr>
          <w:i/>
          <w:sz w:val="22"/>
          <w:szCs w:val="22"/>
        </w:rPr>
        <w:t>New Zealand Engineering</w:t>
      </w:r>
      <w:r w:rsidR="00C8674D" w:rsidRPr="0014686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vol. </w:t>
      </w:r>
      <w:r w:rsidR="00C8674D" w:rsidRPr="00146866">
        <w:rPr>
          <w:sz w:val="22"/>
          <w:szCs w:val="22"/>
        </w:rPr>
        <w:t xml:space="preserve">11, </w:t>
      </w:r>
      <w:r>
        <w:rPr>
          <w:sz w:val="22"/>
          <w:szCs w:val="22"/>
        </w:rPr>
        <w:t>n</w:t>
      </w:r>
      <w:r w:rsidR="00C8674D" w:rsidRPr="00146866">
        <w:rPr>
          <w:sz w:val="22"/>
          <w:szCs w:val="22"/>
        </w:rPr>
        <w:t xml:space="preserve">o. 2, </w:t>
      </w:r>
      <w:r>
        <w:rPr>
          <w:sz w:val="22"/>
          <w:szCs w:val="22"/>
        </w:rPr>
        <w:t xml:space="preserve">pp. </w:t>
      </w:r>
      <w:r w:rsidR="00C8674D" w:rsidRPr="00146866">
        <w:rPr>
          <w:sz w:val="22"/>
          <w:szCs w:val="22"/>
        </w:rPr>
        <w:t>34-44</w:t>
      </w:r>
      <w:r>
        <w:rPr>
          <w:sz w:val="22"/>
          <w:szCs w:val="22"/>
        </w:rPr>
        <w:t>, 1956.</w:t>
      </w:r>
    </w:p>
    <w:p w:rsidR="00B21A4D" w:rsidRDefault="00146866" w:rsidP="00B21A4D">
      <w:pPr>
        <w:pStyle w:val="References"/>
        <w:numPr>
          <w:ilvl w:val="0"/>
          <w:numId w:val="18"/>
        </w:numPr>
        <w:autoSpaceDE w:val="0"/>
        <w:autoSpaceDN w:val="0"/>
        <w:spacing w:before="0" w:line="240" w:lineRule="auto"/>
        <w:ind w:left="357" w:hanging="357"/>
        <w:rPr>
          <w:sz w:val="22"/>
          <w:szCs w:val="22"/>
        </w:rPr>
      </w:pPr>
      <w:r>
        <w:rPr>
          <w:sz w:val="22"/>
          <w:szCs w:val="22"/>
        </w:rPr>
        <w:t>T.</w:t>
      </w:r>
      <w:r w:rsidR="00B21A4D" w:rsidRPr="00B21A4D">
        <w:rPr>
          <w:sz w:val="22"/>
          <w:szCs w:val="22"/>
        </w:rPr>
        <w:t xml:space="preserve">B. </w:t>
      </w:r>
      <w:proofErr w:type="spellStart"/>
      <w:r w:rsidR="00B21A4D" w:rsidRPr="00B21A4D">
        <w:rPr>
          <w:sz w:val="22"/>
          <w:szCs w:val="22"/>
        </w:rPr>
        <w:t>Edil</w:t>
      </w:r>
      <w:proofErr w:type="spellEnd"/>
      <w:r w:rsidR="00B21A4D" w:rsidRPr="00B21A4D">
        <w:rPr>
          <w:sz w:val="22"/>
          <w:szCs w:val="22"/>
        </w:rPr>
        <w:t xml:space="preserve"> and A. </w:t>
      </w:r>
      <w:proofErr w:type="spellStart"/>
      <w:r w:rsidR="00B21A4D" w:rsidRPr="00B21A4D">
        <w:rPr>
          <w:sz w:val="22"/>
          <w:szCs w:val="22"/>
        </w:rPr>
        <w:t>Sawangsuriya</w:t>
      </w:r>
      <w:proofErr w:type="spellEnd"/>
      <w:r w:rsidR="00B21A4D" w:rsidRPr="00B21A4D">
        <w:rPr>
          <w:sz w:val="22"/>
          <w:szCs w:val="22"/>
        </w:rPr>
        <w:t xml:space="preserve">, </w:t>
      </w:r>
      <w:r w:rsidR="00B21A4D" w:rsidRPr="00B21A4D">
        <w:rPr>
          <w:i/>
          <w:sz w:val="22"/>
          <w:szCs w:val="22"/>
        </w:rPr>
        <w:t xml:space="preserve">Investigation of the DCP and SSG as </w:t>
      </w:r>
      <w:r w:rsidR="00252594">
        <w:rPr>
          <w:i/>
          <w:sz w:val="22"/>
          <w:szCs w:val="22"/>
        </w:rPr>
        <w:t>alternative methods to d</w:t>
      </w:r>
      <w:r w:rsidR="00B21A4D" w:rsidRPr="00B21A4D">
        <w:rPr>
          <w:i/>
          <w:sz w:val="22"/>
          <w:szCs w:val="22"/>
        </w:rPr>
        <w:t>eterm</w:t>
      </w:r>
      <w:r w:rsidR="00252594">
        <w:rPr>
          <w:i/>
          <w:sz w:val="22"/>
          <w:szCs w:val="22"/>
        </w:rPr>
        <w:t>ine subgrade s</w:t>
      </w:r>
      <w:r w:rsidR="00B21A4D" w:rsidRPr="00B21A4D">
        <w:rPr>
          <w:i/>
          <w:sz w:val="22"/>
          <w:szCs w:val="22"/>
        </w:rPr>
        <w:t>tability</w:t>
      </w:r>
      <w:r w:rsidR="00B21A4D" w:rsidRPr="00B21A4D">
        <w:rPr>
          <w:sz w:val="22"/>
          <w:szCs w:val="22"/>
        </w:rPr>
        <w:t>. Report No. 0092-01-05, Wisconsin Department of Transportation, Madison, WI</w:t>
      </w:r>
      <w:r w:rsidR="00B21A4D" w:rsidRPr="00B21A4D">
        <w:rPr>
          <w:color w:val="000000"/>
          <w:sz w:val="22"/>
          <w:szCs w:val="22"/>
        </w:rPr>
        <w:t xml:space="preserve">, </w:t>
      </w:r>
      <w:r w:rsidR="00B21A4D" w:rsidRPr="00B21A4D">
        <w:rPr>
          <w:sz w:val="22"/>
          <w:szCs w:val="22"/>
        </w:rPr>
        <w:t>2005.</w:t>
      </w:r>
    </w:p>
    <w:p w:rsidR="00B21A4D" w:rsidRPr="00B21A4D" w:rsidRDefault="00B21A4D" w:rsidP="00B21A4D">
      <w:pPr>
        <w:pStyle w:val="References"/>
        <w:numPr>
          <w:ilvl w:val="0"/>
          <w:numId w:val="18"/>
        </w:numPr>
        <w:autoSpaceDE w:val="0"/>
        <w:autoSpaceDN w:val="0"/>
        <w:spacing w:before="0" w:line="240" w:lineRule="auto"/>
        <w:ind w:left="357" w:hanging="357"/>
        <w:rPr>
          <w:sz w:val="22"/>
          <w:szCs w:val="22"/>
        </w:rPr>
      </w:pPr>
      <w:r w:rsidRPr="00B21A4D">
        <w:rPr>
          <w:sz w:val="22"/>
          <w:szCs w:val="22"/>
        </w:rPr>
        <w:t xml:space="preserve">A. </w:t>
      </w:r>
      <w:proofErr w:type="spellStart"/>
      <w:r w:rsidRPr="00B21A4D">
        <w:rPr>
          <w:sz w:val="22"/>
          <w:szCs w:val="22"/>
        </w:rPr>
        <w:t>Sawangsuriya</w:t>
      </w:r>
      <w:proofErr w:type="spellEnd"/>
      <w:r w:rsidRPr="00B21A4D">
        <w:rPr>
          <w:sz w:val="22"/>
          <w:szCs w:val="22"/>
        </w:rPr>
        <w:t xml:space="preserve"> and T</w:t>
      </w:r>
      <w:r w:rsidR="00146866">
        <w:rPr>
          <w:sz w:val="22"/>
          <w:szCs w:val="22"/>
        </w:rPr>
        <w:t>.</w:t>
      </w:r>
      <w:r w:rsidR="00EA2E33">
        <w:rPr>
          <w:sz w:val="22"/>
          <w:szCs w:val="22"/>
        </w:rPr>
        <w:t xml:space="preserve">B. </w:t>
      </w:r>
      <w:proofErr w:type="spellStart"/>
      <w:r w:rsidR="00EA2E33">
        <w:rPr>
          <w:sz w:val="22"/>
          <w:szCs w:val="22"/>
        </w:rPr>
        <w:t>Edil</w:t>
      </w:r>
      <w:proofErr w:type="spellEnd"/>
      <w:r w:rsidR="00EA2E33">
        <w:rPr>
          <w:sz w:val="22"/>
          <w:szCs w:val="22"/>
        </w:rPr>
        <w:t>, “Evaluating stiffness and strength of pavement m</w:t>
      </w:r>
      <w:r w:rsidRPr="00B21A4D">
        <w:rPr>
          <w:sz w:val="22"/>
          <w:szCs w:val="22"/>
        </w:rPr>
        <w:t xml:space="preserve">aterials,” </w:t>
      </w:r>
      <w:r w:rsidRPr="00B21A4D">
        <w:rPr>
          <w:i/>
          <w:iCs/>
          <w:sz w:val="22"/>
          <w:szCs w:val="22"/>
        </w:rPr>
        <w:t>Proceedings of the Institution of Civil Engineers-Geotechnical Engineering</w:t>
      </w:r>
      <w:r w:rsidR="00146866">
        <w:rPr>
          <w:sz w:val="22"/>
          <w:szCs w:val="22"/>
        </w:rPr>
        <w:t>, vol. 158, n</w:t>
      </w:r>
      <w:r w:rsidRPr="00B21A4D">
        <w:rPr>
          <w:sz w:val="22"/>
          <w:szCs w:val="22"/>
        </w:rPr>
        <w:t>o. 4, pp. 217–230</w:t>
      </w:r>
      <w:r w:rsidR="001F78D9">
        <w:rPr>
          <w:sz w:val="22"/>
          <w:szCs w:val="22"/>
        </w:rPr>
        <w:t>, 2005</w:t>
      </w:r>
      <w:r w:rsidRPr="00B21A4D">
        <w:rPr>
          <w:sz w:val="22"/>
          <w:szCs w:val="22"/>
        </w:rPr>
        <w:t>.</w:t>
      </w:r>
    </w:p>
    <w:p w:rsidR="00B21A4D" w:rsidRPr="00B21A4D" w:rsidRDefault="00B21A4D" w:rsidP="00B21A4D">
      <w:pPr>
        <w:pStyle w:val="References"/>
        <w:numPr>
          <w:ilvl w:val="0"/>
          <w:numId w:val="18"/>
        </w:numPr>
        <w:autoSpaceDE w:val="0"/>
        <w:autoSpaceDN w:val="0"/>
        <w:spacing w:before="0" w:line="240" w:lineRule="auto"/>
        <w:ind w:left="357" w:hanging="357"/>
        <w:rPr>
          <w:sz w:val="22"/>
          <w:szCs w:val="22"/>
        </w:rPr>
      </w:pPr>
      <w:r w:rsidRPr="00B21A4D">
        <w:rPr>
          <w:sz w:val="22"/>
          <w:szCs w:val="22"/>
        </w:rPr>
        <w:t xml:space="preserve">T.B. </w:t>
      </w:r>
      <w:proofErr w:type="spellStart"/>
      <w:r w:rsidRPr="00B21A4D">
        <w:rPr>
          <w:sz w:val="22"/>
          <w:szCs w:val="22"/>
        </w:rPr>
        <w:t>Edil</w:t>
      </w:r>
      <w:proofErr w:type="spellEnd"/>
      <w:r w:rsidRPr="00B21A4D">
        <w:rPr>
          <w:sz w:val="22"/>
          <w:szCs w:val="22"/>
        </w:rPr>
        <w:t xml:space="preserve"> and A. </w:t>
      </w:r>
      <w:proofErr w:type="spellStart"/>
      <w:r w:rsidRPr="00B21A4D">
        <w:rPr>
          <w:sz w:val="22"/>
          <w:szCs w:val="22"/>
        </w:rPr>
        <w:t>Sawangsuriya</w:t>
      </w:r>
      <w:proofErr w:type="spellEnd"/>
      <w:r w:rsidRPr="00B21A4D">
        <w:rPr>
          <w:sz w:val="22"/>
          <w:szCs w:val="22"/>
        </w:rPr>
        <w:t xml:space="preserve">, “Use of stiffness and strength for earthwork quality evaluation,” </w:t>
      </w:r>
      <w:proofErr w:type="spellStart"/>
      <w:r w:rsidRPr="00B21A4D">
        <w:rPr>
          <w:i/>
          <w:sz w:val="22"/>
          <w:szCs w:val="22"/>
        </w:rPr>
        <w:t>GeoShanghai</w:t>
      </w:r>
      <w:proofErr w:type="spellEnd"/>
      <w:r w:rsidRPr="00B21A4D">
        <w:rPr>
          <w:i/>
          <w:sz w:val="22"/>
          <w:szCs w:val="22"/>
        </w:rPr>
        <w:t xml:space="preserve"> Conference, Site and </w:t>
      </w:r>
      <w:proofErr w:type="spellStart"/>
      <w:r w:rsidRPr="00B21A4D">
        <w:rPr>
          <w:i/>
          <w:sz w:val="22"/>
          <w:szCs w:val="22"/>
        </w:rPr>
        <w:t>Geomaterial</w:t>
      </w:r>
      <w:proofErr w:type="spellEnd"/>
      <w:r w:rsidRPr="00B21A4D">
        <w:rPr>
          <w:i/>
          <w:sz w:val="22"/>
          <w:szCs w:val="22"/>
        </w:rPr>
        <w:t xml:space="preserve"> Characterization</w:t>
      </w:r>
      <w:r w:rsidRPr="00B21A4D">
        <w:rPr>
          <w:iCs/>
          <w:sz w:val="22"/>
          <w:szCs w:val="22"/>
        </w:rPr>
        <w:t xml:space="preserve">, </w:t>
      </w:r>
      <w:r w:rsidRPr="00B21A4D">
        <w:rPr>
          <w:sz w:val="22"/>
          <w:szCs w:val="22"/>
        </w:rPr>
        <w:t>ASCE, Geotechnical Spec</w:t>
      </w:r>
      <w:r w:rsidR="00146866">
        <w:rPr>
          <w:sz w:val="22"/>
          <w:szCs w:val="22"/>
        </w:rPr>
        <w:t>ial Publication, n</w:t>
      </w:r>
      <w:r w:rsidRPr="00B21A4D">
        <w:rPr>
          <w:sz w:val="22"/>
          <w:szCs w:val="22"/>
        </w:rPr>
        <w:t>o. 149, Shanghai, China, pp. 80–87</w:t>
      </w:r>
      <w:r w:rsidR="001F78D9">
        <w:rPr>
          <w:sz w:val="22"/>
          <w:szCs w:val="22"/>
        </w:rPr>
        <w:t>, 2006</w:t>
      </w:r>
      <w:r w:rsidRPr="00B21A4D">
        <w:rPr>
          <w:sz w:val="22"/>
          <w:szCs w:val="22"/>
        </w:rPr>
        <w:t>.</w:t>
      </w:r>
    </w:p>
    <w:p w:rsidR="00B21A4D" w:rsidRPr="00B21A4D" w:rsidRDefault="00B21A4D" w:rsidP="00B21A4D">
      <w:pPr>
        <w:pStyle w:val="References"/>
        <w:numPr>
          <w:ilvl w:val="0"/>
          <w:numId w:val="18"/>
        </w:numPr>
        <w:autoSpaceDE w:val="0"/>
        <w:autoSpaceDN w:val="0"/>
        <w:spacing w:before="0" w:line="240" w:lineRule="auto"/>
        <w:ind w:left="357" w:hanging="357"/>
        <w:rPr>
          <w:sz w:val="22"/>
          <w:szCs w:val="22"/>
        </w:rPr>
      </w:pPr>
      <w:r w:rsidRPr="00B21A4D">
        <w:rPr>
          <w:sz w:val="22"/>
          <w:szCs w:val="22"/>
        </w:rPr>
        <w:t xml:space="preserve">Y. </w:t>
      </w:r>
      <w:proofErr w:type="spellStart"/>
      <w:r w:rsidRPr="00B21A4D">
        <w:rPr>
          <w:sz w:val="22"/>
          <w:szCs w:val="22"/>
        </w:rPr>
        <w:t>Taesiri</w:t>
      </w:r>
      <w:proofErr w:type="spellEnd"/>
      <w:r w:rsidRPr="00B21A4D">
        <w:rPr>
          <w:sz w:val="22"/>
          <w:szCs w:val="22"/>
        </w:rPr>
        <w:t xml:space="preserve">, A. </w:t>
      </w:r>
      <w:proofErr w:type="spellStart"/>
      <w:r w:rsidRPr="00B21A4D">
        <w:rPr>
          <w:sz w:val="22"/>
          <w:szCs w:val="22"/>
        </w:rPr>
        <w:t>Sawangsuriya</w:t>
      </w:r>
      <w:proofErr w:type="spellEnd"/>
      <w:r w:rsidRPr="00B21A4D">
        <w:rPr>
          <w:sz w:val="22"/>
          <w:szCs w:val="22"/>
        </w:rPr>
        <w:t xml:space="preserve">, S. </w:t>
      </w:r>
      <w:proofErr w:type="spellStart"/>
      <w:r w:rsidRPr="00B21A4D">
        <w:rPr>
          <w:sz w:val="22"/>
          <w:szCs w:val="22"/>
        </w:rPr>
        <w:t>Wachiraporn</w:t>
      </w:r>
      <w:proofErr w:type="spellEnd"/>
      <w:r w:rsidRPr="00B21A4D">
        <w:rPr>
          <w:sz w:val="22"/>
          <w:szCs w:val="22"/>
        </w:rPr>
        <w:t xml:space="preserve">, and W. </w:t>
      </w:r>
      <w:proofErr w:type="spellStart"/>
      <w:r w:rsidRPr="00B21A4D">
        <w:rPr>
          <w:sz w:val="22"/>
          <w:szCs w:val="22"/>
        </w:rPr>
        <w:t>Sramoon</w:t>
      </w:r>
      <w:proofErr w:type="spellEnd"/>
      <w:r w:rsidRPr="00B21A4D">
        <w:rPr>
          <w:sz w:val="22"/>
          <w:szCs w:val="22"/>
        </w:rPr>
        <w:t xml:space="preserve">, “Assessment of in-situ tests for stiffness and strength characteristic of pavement materials,” </w:t>
      </w:r>
      <w:r w:rsidRPr="00B21A4D">
        <w:rPr>
          <w:i/>
          <w:iCs/>
          <w:sz w:val="22"/>
          <w:szCs w:val="22"/>
        </w:rPr>
        <w:t>13</w:t>
      </w:r>
      <w:r w:rsidRPr="00B21A4D">
        <w:rPr>
          <w:i/>
          <w:iCs/>
          <w:sz w:val="22"/>
          <w:szCs w:val="22"/>
          <w:vertAlign w:val="superscript"/>
        </w:rPr>
        <w:t>th</w:t>
      </w:r>
      <w:r w:rsidRPr="00B21A4D">
        <w:rPr>
          <w:i/>
          <w:iCs/>
          <w:sz w:val="22"/>
          <w:szCs w:val="22"/>
        </w:rPr>
        <w:t xml:space="preserve"> REAAA Conf</w:t>
      </w:r>
      <w:r w:rsidR="000A1E53">
        <w:rPr>
          <w:i/>
          <w:iCs/>
          <w:sz w:val="22"/>
          <w:szCs w:val="22"/>
        </w:rPr>
        <w:t>.</w:t>
      </w:r>
      <w:r w:rsidRPr="00B21A4D">
        <w:rPr>
          <w:i/>
          <w:iCs/>
          <w:sz w:val="22"/>
          <w:szCs w:val="22"/>
        </w:rPr>
        <w:t xml:space="preserve"> Korea 2009</w:t>
      </w:r>
      <w:r w:rsidRPr="00B21A4D">
        <w:rPr>
          <w:sz w:val="22"/>
          <w:szCs w:val="22"/>
        </w:rPr>
        <w:t xml:space="preserve">, </w:t>
      </w:r>
      <w:proofErr w:type="spellStart"/>
      <w:r w:rsidRPr="00B21A4D">
        <w:rPr>
          <w:sz w:val="22"/>
          <w:szCs w:val="22"/>
        </w:rPr>
        <w:t>Icheon</w:t>
      </w:r>
      <w:proofErr w:type="spellEnd"/>
      <w:r w:rsidRPr="00B21A4D">
        <w:rPr>
          <w:sz w:val="22"/>
          <w:szCs w:val="22"/>
        </w:rPr>
        <w:t>, South Korea, 2009.</w:t>
      </w:r>
    </w:p>
    <w:p w:rsidR="00B21A4D" w:rsidRDefault="00B21A4D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 w:rsidRPr="00B21A4D">
        <w:rPr>
          <w:sz w:val="22"/>
          <w:szCs w:val="22"/>
        </w:rPr>
        <w:t xml:space="preserve">S. </w:t>
      </w:r>
      <w:proofErr w:type="spellStart"/>
      <w:r w:rsidRPr="00B21A4D">
        <w:rPr>
          <w:sz w:val="22"/>
          <w:szCs w:val="22"/>
        </w:rPr>
        <w:t>Wachiraporn</w:t>
      </w:r>
      <w:proofErr w:type="spellEnd"/>
      <w:r w:rsidRPr="00B21A4D">
        <w:rPr>
          <w:sz w:val="22"/>
          <w:szCs w:val="22"/>
        </w:rPr>
        <w:t xml:space="preserve">, A. </w:t>
      </w:r>
      <w:proofErr w:type="spellStart"/>
      <w:r w:rsidRPr="00B21A4D">
        <w:rPr>
          <w:sz w:val="22"/>
          <w:szCs w:val="22"/>
        </w:rPr>
        <w:t>Sawangsuriya</w:t>
      </w:r>
      <w:proofErr w:type="spellEnd"/>
      <w:r w:rsidRPr="00B21A4D">
        <w:rPr>
          <w:sz w:val="22"/>
          <w:szCs w:val="22"/>
        </w:rPr>
        <w:t xml:space="preserve">, J. </w:t>
      </w:r>
      <w:proofErr w:type="spellStart"/>
      <w:r w:rsidRPr="00B21A4D">
        <w:rPr>
          <w:sz w:val="22"/>
          <w:szCs w:val="22"/>
        </w:rPr>
        <w:t>Sunitsakul</w:t>
      </w:r>
      <w:proofErr w:type="spellEnd"/>
      <w:r w:rsidRPr="00B21A4D">
        <w:rPr>
          <w:sz w:val="22"/>
          <w:szCs w:val="22"/>
        </w:rPr>
        <w:t xml:space="preserve">, and W. </w:t>
      </w:r>
      <w:proofErr w:type="spellStart"/>
      <w:r w:rsidRPr="00B21A4D">
        <w:rPr>
          <w:sz w:val="22"/>
          <w:szCs w:val="22"/>
        </w:rPr>
        <w:t>Sramoon</w:t>
      </w:r>
      <w:proofErr w:type="spellEnd"/>
      <w:r w:rsidRPr="00B21A4D">
        <w:rPr>
          <w:sz w:val="22"/>
          <w:szCs w:val="22"/>
        </w:rPr>
        <w:t xml:space="preserve">, “Stiffness and strength based in-place evaluation of compacted unbound materials,” </w:t>
      </w:r>
      <w:r w:rsidR="000A1E53">
        <w:rPr>
          <w:i/>
          <w:iCs/>
          <w:sz w:val="22"/>
          <w:szCs w:val="22"/>
        </w:rPr>
        <w:t>Proc.</w:t>
      </w:r>
      <w:r w:rsidRPr="00B21A4D">
        <w:rPr>
          <w:i/>
          <w:iCs/>
          <w:sz w:val="22"/>
          <w:szCs w:val="22"/>
        </w:rPr>
        <w:t xml:space="preserve"> of Sessions of </w:t>
      </w:r>
      <w:proofErr w:type="spellStart"/>
      <w:r w:rsidRPr="00B21A4D">
        <w:rPr>
          <w:i/>
          <w:iCs/>
          <w:sz w:val="22"/>
          <w:szCs w:val="22"/>
        </w:rPr>
        <w:t>GeoShanghai</w:t>
      </w:r>
      <w:proofErr w:type="spellEnd"/>
      <w:r w:rsidRPr="00B21A4D">
        <w:rPr>
          <w:i/>
          <w:iCs/>
          <w:sz w:val="22"/>
          <w:szCs w:val="22"/>
        </w:rPr>
        <w:t xml:space="preserve"> 2010</w:t>
      </w:r>
      <w:r w:rsidRPr="00B21A4D">
        <w:rPr>
          <w:sz w:val="22"/>
          <w:szCs w:val="22"/>
        </w:rPr>
        <w:t xml:space="preserve">, Geotechnical Special Publication </w:t>
      </w:r>
      <w:r w:rsidR="00146866">
        <w:rPr>
          <w:sz w:val="22"/>
          <w:szCs w:val="22"/>
        </w:rPr>
        <w:t>no</w:t>
      </w:r>
      <w:r w:rsidRPr="00B21A4D">
        <w:rPr>
          <w:sz w:val="22"/>
          <w:szCs w:val="22"/>
        </w:rPr>
        <w:t>. 203, Shanghai, China, pp. 347–354</w:t>
      </w:r>
      <w:r w:rsidR="001F78D9">
        <w:rPr>
          <w:sz w:val="22"/>
          <w:szCs w:val="22"/>
        </w:rPr>
        <w:t>, 2010</w:t>
      </w:r>
      <w:r w:rsidRPr="00B21A4D">
        <w:rPr>
          <w:sz w:val="22"/>
          <w:szCs w:val="22"/>
        </w:rPr>
        <w:t xml:space="preserve">. </w:t>
      </w:r>
    </w:p>
    <w:p w:rsidR="00ED0214" w:rsidRPr="00ED0214" w:rsidRDefault="00146866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rFonts w:hint="eastAsia"/>
          <w:sz w:val="22"/>
          <w:szCs w:val="22"/>
        </w:rPr>
        <w:t>Sawangsuriya</w:t>
      </w:r>
      <w:proofErr w:type="spellEnd"/>
      <w:r>
        <w:rPr>
          <w:sz w:val="22"/>
          <w:szCs w:val="22"/>
        </w:rPr>
        <w:t xml:space="preserve"> </w:t>
      </w:r>
      <w:r w:rsidR="00ED0214" w:rsidRPr="00ED021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T.B. </w:t>
      </w:r>
      <w:proofErr w:type="spellStart"/>
      <w:r w:rsidR="00ED0214" w:rsidRPr="00ED0214">
        <w:rPr>
          <w:sz w:val="22"/>
          <w:szCs w:val="22"/>
          <w:lang w:eastAsia="zh-TW"/>
        </w:rPr>
        <w:t>Edil</w:t>
      </w:r>
      <w:proofErr w:type="spellEnd"/>
      <w:r w:rsidR="00ED0214" w:rsidRPr="00ED0214">
        <w:rPr>
          <w:sz w:val="22"/>
          <w:szCs w:val="22"/>
          <w:lang w:eastAsia="zh-TW"/>
        </w:rPr>
        <w:t>,</w:t>
      </w:r>
      <w:r w:rsidR="00ED0214" w:rsidRPr="00ED0214">
        <w:rPr>
          <w:rFonts w:hint="eastAsia"/>
          <w:sz w:val="22"/>
          <w:szCs w:val="22"/>
        </w:rPr>
        <w:t xml:space="preserve"> </w:t>
      </w:r>
      <w:r w:rsidR="00ED0214" w:rsidRPr="00ED0214">
        <w:rPr>
          <w:sz w:val="22"/>
          <w:szCs w:val="22"/>
        </w:rPr>
        <w:t>“Evaluation of soil stiffness and strength for quality control of compacted earthwork,”</w:t>
      </w:r>
      <w:r w:rsidR="00ED0214" w:rsidRPr="00ED0214">
        <w:rPr>
          <w:rFonts w:hint="eastAsia"/>
          <w:sz w:val="22"/>
          <w:szCs w:val="22"/>
        </w:rPr>
        <w:t xml:space="preserve"> </w:t>
      </w:r>
      <w:r w:rsidR="00ED0214" w:rsidRPr="00ED0214">
        <w:rPr>
          <w:rFonts w:hint="eastAsia"/>
          <w:i/>
          <w:iCs/>
          <w:sz w:val="22"/>
          <w:szCs w:val="22"/>
        </w:rPr>
        <w:t>Int</w:t>
      </w:r>
      <w:r>
        <w:rPr>
          <w:i/>
          <w:iCs/>
          <w:sz w:val="22"/>
          <w:szCs w:val="22"/>
        </w:rPr>
        <w:t>.</w:t>
      </w:r>
      <w:r w:rsidR="00ED0214" w:rsidRPr="00ED0214">
        <w:rPr>
          <w:rFonts w:hint="eastAsia"/>
          <w:i/>
          <w:iCs/>
          <w:sz w:val="22"/>
          <w:szCs w:val="22"/>
        </w:rPr>
        <w:t xml:space="preserve"> </w:t>
      </w:r>
      <w:r w:rsidR="00ED0214" w:rsidRPr="00ED0214">
        <w:rPr>
          <w:i/>
          <w:iCs/>
          <w:sz w:val="22"/>
          <w:szCs w:val="22"/>
        </w:rPr>
        <w:t>J</w:t>
      </w:r>
      <w:r>
        <w:rPr>
          <w:i/>
          <w:iCs/>
          <w:sz w:val="22"/>
          <w:szCs w:val="22"/>
        </w:rPr>
        <w:t>.</w:t>
      </w:r>
      <w:r w:rsidR="00ED0214" w:rsidRPr="00ED0214">
        <w:rPr>
          <w:i/>
          <w:iCs/>
          <w:sz w:val="22"/>
          <w:szCs w:val="22"/>
        </w:rPr>
        <w:t xml:space="preserve"> </w:t>
      </w:r>
      <w:proofErr w:type="spellStart"/>
      <w:r w:rsidR="00ED0214" w:rsidRPr="00ED0214">
        <w:rPr>
          <w:i/>
          <w:iCs/>
          <w:sz w:val="22"/>
          <w:szCs w:val="22"/>
        </w:rPr>
        <w:t>Envi</w:t>
      </w:r>
      <w:proofErr w:type="spellEnd"/>
      <w:r>
        <w:rPr>
          <w:i/>
          <w:iCs/>
          <w:sz w:val="22"/>
          <w:szCs w:val="22"/>
        </w:rPr>
        <w:t>.</w:t>
      </w:r>
      <w:r w:rsidR="00ED0214" w:rsidRPr="00ED0214">
        <w:rPr>
          <w:i/>
          <w:iCs/>
          <w:sz w:val="22"/>
          <w:szCs w:val="22"/>
        </w:rPr>
        <w:t>, Chem</w:t>
      </w:r>
      <w:r>
        <w:rPr>
          <w:i/>
          <w:iCs/>
          <w:sz w:val="22"/>
          <w:szCs w:val="22"/>
        </w:rPr>
        <w:t>.</w:t>
      </w:r>
      <w:r w:rsidR="00ED0214" w:rsidRPr="00ED0214">
        <w:rPr>
          <w:i/>
          <w:iCs/>
          <w:sz w:val="22"/>
          <w:szCs w:val="22"/>
        </w:rPr>
        <w:t>, Eco</w:t>
      </w:r>
      <w:r>
        <w:rPr>
          <w:i/>
          <w:iCs/>
          <w:sz w:val="22"/>
          <w:szCs w:val="22"/>
        </w:rPr>
        <w:t>l.</w:t>
      </w:r>
      <w:r w:rsidR="00ED0214" w:rsidRPr="00ED0214">
        <w:rPr>
          <w:i/>
          <w:iCs/>
          <w:sz w:val="22"/>
          <w:szCs w:val="22"/>
        </w:rPr>
        <w:t>, Geol</w:t>
      </w:r>
      <w:r>
        <w:rPr>
          <w:i/>
          <w:iCs/>
          <w:sz w:val="22"/>
          <w:szCs w:val="22"/>
        </w:rPr>
        <w:t>.</w:t>
      </w:r>
      <w:r w:rsidR="00ED0214" w:rsidRPr="00ED0214">
        <w:rPr>
          <w:i/>
          <w:iCs/>
          <w:sz w:val="22"/>
          <w:szCs w:val="22"/>
        </w:rPr>
        <w:t xml:space="preserve"> and Geophysical Eng</w:t>
      </w:r>
      <w:r>
        <w:rPr>
          <w:i/>
          <w:iCs/>
          <w:sz w:val="22"/>
          <w:szCs w:val="22"/>
        </w:rPr>
        <w:t>r.,</w:t>
      </w:r>
      <w:r w:rsidR="00ED0214" w:rsidRPr="00ED0214">
        <w:rPr>
          <w:sz w:val="22"/>
          <w:szCs w:val="22"/>
        </w:rPr>
        <w:t xml:space="preserve"> WASET,</w:t>
      </w:r>
      <w:r w:rsidR="00ED0214" w:rsidRPr="00ED0214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 w:rsidR="00ED0214" w:rsidRPr="00ED0214">
        <w:rPr>
          <w:sz w:val="22"/>
          <w:szCs w:val="22"/>
        </w:rPr>
        <w:t xml:space="preserve">ol. 10, </w:t>
      </w:r>
      <w:r>
        <w:rPr>
          <w:sz w:val="22"/>
          <w:szCs w:val="22"/>
        </w:rPr>
        <w:t xml:space="preserve">no. 2, Paris, France, pp. 95-99, </w:t>
      </w:r>
      <w:r w:rsidRPr="00ED0214">
        <w:rPr>
          <w:rFonts w:hint="eastAsia"/>
          <w:sz w:val="22"/>
          <w:szCs w:val="22"/>
        </w:rPr>
        <w:t>201</w:t>
      </w:r>
      <w:r w:rsidRPr="00ED0214">
        <w:rPr>
          <w:sz w:val="22"/>
          <w:szCs w:val="22"/>
        </w:rPr>
        <w:t>6</w:t>
      </w:r>
      <w:r>
        <w:rPr>
          <w:sz w:val="22"/>
          <w:szCs w:val="22"/>
        </w:rPr>
        <w:t>.</w:t>
      </w:r>
    </w:p>
    <w:p w:rsidR="00B54AB8" w:rsidRDefault="000A1E53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rFonts w:hint="eastAsia"/>
          <w:sz w:val="22"/>
          <w:szCs w:val="22"/>
        </w:rPr>
        <w:t>Sawangsuriya</w:t>
      </w:r>
      <w:proofErr w:type="spellEnd"/>
      <w:r>
        <w:rPr>
          <w:rFonts w:hint="eastAsia"/>
          <w:sz w:val="22"/>
          <w:szCs w:val="22"/>
        </w:rPr>
        <w:t>,</w:t>
      </w:r>
      <w:r w:rsidR="00B54AB8" w:rsidRPr="00B54AB8">
        <w:rPr>
          <w:sz w:val="22"/>
          <w:szCs w:val="22"/>
        </w:rPr>
        <w:t xml:space="preserve"> </w:t>
      </w:r>
      <w:proofErr w:type="spellStart"/>
      <w:r w:rsidR="00B54AB8" w:rsidRPr="00B54AB8">
        <w:rPr>
          <w:sz w:val="22"/>
          <w:szCs w:val="22"/>
        </w:rPr>
        <w:t>Wachiraporn</w:t>
      </w:r>
      <w:proofErr w:type="spellEnd"/>
      <w:r w:rsidR="00B54AB8" w:rsidRPr="00B54AB8">
        <w:rPr>
          <w:sz w:val="22"/>
          <w:szCs w:val="22"/>
        </w:rPr>
        <w:t>, S.</w:t>
      </w:r>
      <w:r w:rsidR="00B54AB8" w:rsidRPr="00B54AB8">
        <w:rPr>
          <w:rFonts w:hint="eastAsia"/>
          <w:sz w:val="22"/>
          <w:szCs w:val="22"/>
        </w:rPr>
        <w:t>,</w:t>
      </w:r>
      <w:r w:rsidR="00B54AB8" w:rsidRPr="00B54AB8">
        <w:rPr>
          <w:sz w:val="22"/>
          <w:szCs w:val="22"/>
        </w:rPr>
        <w:t xml:space="preserve"> </w:t>
      </w:r>
      <w:proofErr w:type="spellStart"/>
      <w:r w:rsidR="00B54AB8" w:rsidRPr="00B54AB8">
        <w:rPr>
          <w:sz w:val="22"/>
          <w:szCs w:val="22"/>
          <w:lang w:bidi="th-TH"/>
        </w:rPr>
        <w:t>Sirisak</w:t>
      </w:r>
      <w:proofErr w:type="spellEnd"/>
      <w:r w:rsidR="00B54AB8" w:rsidRPr="00B54AB8">
        <w:rPr>
          <w:sz w:val="22"/>
          <w:szCs w:val="22"/>
          <w:lang w:bidi="th-TH"/>
        </w:rPr>
        <w:t xml:space="preserve">, S., and </w:t>
      </w:r>
      <w:proofErr w:type="spellStart"/>
      <w:r w:rsidR="00B54AB8" w:rsidRPr="00B54AB8">
        <w:rPr>
          <w:sz w:val="22"/>
          <w:szCs w:val="22"/>
          <w:lang w:bidi="th-TH"/>
        </w:rPr>
        <w:t>Lawanwisut</w:t>
      </w:r>
      <w:proofErr w:type="spellEnd"/>
      <w:r w:rsidR="00B54AB8" w:rsidRPr="00B54AB8">
        <w:rPr>
          <w:sz w:val="22"/>
          <w:szCs w:val="22"/>
          <w:lang w:bidi="th-TH"/>
        </w:rPr>
        <w:t>, W.</w:t>
      </w:r>
      <w:r w:rsidR="00B54AB8" w:rsidRPr="00B54AB8">
        <w:rPr>
          <w:sz w:val="22"/>
          <w:szCs w:val="22"/>
        </w:rPr>
        <w:t>,</w:t>
      </w:r>
      <w:r w:rsidR="00B54AB8" w:rsidRPr="00B54AB8">
        <w:rPr>
          <w:rFonts w:hint="eastAsia"/>
          <w:sz w:val="22"/>
          <w:szCs w:val="22"/>
        </w:rPr>
        <w:t xml:space="preserve"> </w:t>
      </w:r>
      <w:r w:rsidR="00B54AB8" w:rsidRPr="00B54AB8">
        <w:rPr>
          <w:sz w:val="22"/>
          <w:szCs w:val="22"/>
        </w:rPr>
        <w:t>“Proposed performance criteria for earthwork construction quality control,”</w:t>
      </w:r>
      <w:r w:rsidR="00B54AB8" w:rsidRPr="00B54AB8">
        <w:rPr>
          <w:rFonts w:hint="eastAsia"/>
          <w:sz w:val="22"/>
          <w:szCs w:val="22"/>
        </w:rPr>
        <w:t xml:space="preserve"> </w:t>
      </w:r>
      <w:r w:rsidR="00B54AB8" w:rsidRPr="00B54AB8">
        <w:rPr>
          <w:i/>
          <w:iCs/>
          <w:sz w:val="22"/>
          <w:szCs w:val="22"/>
        </w:rPr>
        <w:t>Proceedings of the 5</w:t>
      </w:r>
      <w:r w:rsidR="00B54AB8" w:rsidRPr="00B54AB8">
        <w:rPr>
          <w:i/>
          <w:iCs/>
          <w:sz w:val="22"/>
          <w:szCs w:val="22"/>
          <w:vertAlign w:val="superscript"/>
        </w:rPr>
        <w:t>th</w:t>
      </w:r>
      <w:r w:rsidR="00B54AB8" w:rsidRPr="00B54AB8">
        <w:rPr>
          <w:i/>
          <w:iCs/>
          <w:sz w:val="22"/>
          <w:szCs w:val="22"/>
        </w:rPr>
        <w:t xml:space="preserve"> </w:t>
      </w:r>
      <w:r w:rsidR="00B54AB8" w:rsidRPr="00B54AB8">
        <w:rPr>
          <w:rFonts w:hint="eastAsia"/>
          <w:i/>
          <w:iCs/>
          <w:sz w:val="22"/>
          <w:szCs w:val="22"/>
        </w:rPr>
        <w:t>Int</w:t>
      </w:r>
      <w:r w:rsidR="00146866">
        <w:rPr>
          <w:i/>
          <w:iCs/>
          <w:sz w:val="22"/>
          <w:szCs w:val="22"/>
        </w:rPr>
        <w:t>.</w:t>
      </w:r>
      <w:r w:rsidR="00B54AB8" w:rsidRPr="00B54AB8">
        <w:rPr>
          <w:rFonts w:hint="eastAsia"/>
          <w:i/>
          <w:iCs/>
          <w:sz w:val="22"/>
          <w:szCs w:val="22"/>
        </w:rPr>
        <w:t xml:space="preserve"> </w:t>
      </w:r>
      <w:r w:rsidR="00B54AB8" w:rsidRPr="00B54AB8">
        <w:rPr>
          <w:i/>
          <w:iCs/>
          <w:sz w:val="22"/>
          <w:szCs w:val="22"/>
        </w:rPr>
        <w:t>Conf</w:t>
      </w:r>
      <w:r w:rsidR="00146866">
        <w:rPr>
          <w:i/>
          <w:iCs/>
          <w:sz w:val="22"/>
          <w:szCs w:val="22"/>
        </w:rPr>
        <w:t xml:space="preserve">. </w:t>
      </w:r>
      <w:r w:rsidR="00B54AB8" w:rsidRPr="00B54AB8">
        <w:rPr>
          <w:i/>
          <w:iCs/>
          <w:sz w:val="22"/>
          <w:szCs w:val="22"/>
        </w:rPr>
        <w:t xml:space="preserve">on </w:t>
      </w:r>
      <w:proofErr w:type="spellStart"/>
      <w:r w:rsidR="00B54AB8" w:rsidRPr="00B54AB8">
        <w:rPr>
          <w:i/>
          <w:iCs/>
          <w:sz w:val="22"/>
          <w:szCs w:val="22"/>
        </w:rPr>
        <w:t>Geotech</w:t>
      </w:r>
      <w:proofErr w:type="spellEnd"/>
      <w:r w:rsidR="00146866">
        <w:rPr>
          <w:i/>
          <w:iCs/>
          <w:sz w:val="22"/>
          <w:szCs w:val="22"/>
        </w:rPr>
        <w:t xml:space="preserve">. </w:t>
      </w:r>
      <w:proofErr w:type="gramStart"/>
      <w:r w:rsidR="00B54AB8" w:rsidRPr="00B54AB8">
        <w:rPr>
          <w:i/>
          <w:iCs/>
          <w:sz w:val="22"/>
          <w:szCs w:val="22"/>
        </w:rPr>
        <w:t>and</w:t>
      </w:r>
      <w:proofErr w:type="gramEnd"/>
      <w:r w:rsidR="00B54AB8" w:rsidRPr="00B54AB8">
        <w:rPr>
          <w:i/>
          <w:iCs/>
          <w:sz w:val="22"/>
          <w:szCs w:val="22"/>
        </w:rPr>
        <w:t xml:space="preserve"> </w:t>
      </w:r>
      <w:proofErr w:type="spellStart"/>
      <w:r w:rsidR="00B54AB8" w:rsidRPr="00B54AB8">
        <w:rPr>
          <w:i/>
          <w:iCs/>
          <w:sz w:val="22"/>
          <w:szCs w:val="22"/>
        </w:rPr>
        <w:t>Geophy</w:t>
      </w:r>
      <w:r w:rsidR="00252594">
        <w:rPr>
          <w:i/>
          <w:iCs/>
          <w:sz w:val="22"/>
          <w:szCs w:val="22"/>
        </w:rPr>
        <w:t>sic</w:t>
      </w:r>
      <w:proofErr w:type="spellEnd"/>
      <w:r w:rsidR="00252594">
        <w:rPr>
          <w:i/>
          <w:iCs/>
          <w:sz w:val="22"/>
          <w:szCs w:val="22"/>
        </w:rPr>
        <w:t>.</w:t>
      </w:r>
      <w:r w:rsidR="00B54AB8" w:rsidRPr="00B54AB8">
        <w:rPr>
          <w:i/>
          <w:iCs/>
          <w:sz w:val="22"/>
          <w:szCs w:val="22"/>
        </w:rPr>
        <w:t xml:space="preserve"> Site Characterisation</w:t>
      </w:r>
      <w:r w:rsidR="00B54AB8" w:rsidRPr="00B54AB8">
        <w:rPr>
          <w:sz w:val="22"/>
          <w:szCs w:val="22"/>
        </w:rPr>
        <w:t xml:space="preserve"> (ISSMGE TC-102 - ISC’5), Gold Coast, Que</w:t>
      </w:r>
      <w:r w:rsidR="00146866">
        <w:rPr>
          <w:sz w:val="22"/>
          <w:szCs w:val="22"/>
        </w:rPr>
        <w:t>ensland, Australia, pp. 717-722, 2016.</w:t>
      </w:r>
    </w:p>
    <w:p w:rsidR="00EB6008" w:rsidRDefault="000A1E53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E.G. </w:t>
      </w:r>
      <w:proofErr w:type="spellStart"/>
      <w:r w:rsidR="00146866">
        <w:rPr>
          <w:sz w:val="22"/>
          <w:szCs w:val="22"/>
        </w:rPr>
        <w:t>Kleyn</w:t>
      </w:r>
      <w:proofErr w:type="spellEnd"/>
      <w:r w:rsidR="00146866">
        <w:rPr>
          <w:sz w:val="22"/>
          <w:szCs w:val="22"/>
        </w:rPr>
        <w:t xml:space="preserve">, </w:t>
      </w:r>
      <w:r w:rsidR="00EB6008" w:rsidRPr="00146866">
        <w:rPr>
          <w:i/>
          <w:iCs/>
          <w:sz w:val="22"/>
          <w:szCs w:val="22"/>
        </w:rPr>
        <w:t>The use of the dynamic cone penetrometer (DCP)</w:t>
      </w:r>
      <w:r w:rsidR="00146866">
        <w:rPr>
          <w:sz w:val="22"/>
          <w:szCs w:val="22"/>
        </w:rPr>
        <w:t>,</w:t>
      </w:r>
      <w:r w:rsidR="00EB6008">
        <w:rPr>
          <w:sz w:val="22"/>
          <w:szCs w:val="22"/>
        </w:rPr>
        <w:t xml:space="preserve"> Report No.2/74, Transvaal Roads Department, South Africa</w:t>
      </w:r>
      <w:r w:rsidR="00146866">
        <w:rPr>
          <w:sz w:val="22"/>
          <w:szCs w:val="22"/>
        </w:rPr>
        <w:t>, 1975.</w:t>
      </w:r>
    </w:p>
    <w:p w:rsidR="00C10E8A" w:rsidRDefault="00410293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M.A. </w:t>
      </w:r>
      <w:proofErr w:type="spellStart"/>
      <w:r w:rsidR="00C10E8A">
        <w:rPr>
          <w:sz w:val="22"/>
          <w:szCs w:val="22"/>
        </w:rPr>
        <w:t>Gabr</w:t>
      </w:r>
      <w:proofErr w:type="spellEnd"/>
      <w:r w:rsidR="00C10E8A">
        <w:rPr>
          <w:sz w:val="22"/>
          <w:szCs w:val="22"/>
        </w:rPr>
        <w:t>,</w:t>
      </w:r>
      <w:r>
        <w:rPr>
          <w:sz w:val="22"/>
          <w:szCs w:val="22"/>
        </w:rPr>
        <w:t xml:space="preserve"> J. </w:t>
      </w:r>
      <w:proofErr w:type="spellStart"/>
      <w:r>
        <w:rPr>
          <w:sz w:val="22"/>
          <w:szCs w:val="22"/>
        </w:rPr>
        <w:t>Coonse</w:t>
      </w:r>
      <w:proofErr w:type="spellEnd"/>
      <w:r>
        <w:rPr>
          <w:sz w:val="22"/>
          <w:szCs w:val="22"/>
        </w:rPr>
        <w:t xml:space="preserve">, and P.C. </w:t>
      </w:r>
      <w:proofErr w:type="spellStart"/>
      <w:r>
        <w:rPr>
          <w:sz w:val="22"/>
          <w:szCs w:val="22"/>
        </w:rPr>
        <w:t>Lambe</w:t>
      </w:r>
      <w:proofErr w:type="spellEnd"/>
      <w:r>
        <w:rPr>
          <w:sz w:val="22"/>
          <w:szCs w:val="22"/>
        </w:rPr>
        <w:t xml:space="preserve">, </w:t>
      </w:r>
      <w:r w:rsidR="00C10E8A">
        <w:rPr>
          <w:sz w:val="22"/>
          <w:szCs w:val="22"/>
        </w:rPr>
        <w:t>“A potential model for compaction evaluation of piedmont soils using dynamic cone penetrometer (DCP),</w:t>
      </w:r>
      <w:r>
        <w:rPr>
          <w:sz w:val="22"/>
          <w:szCs w:val="22"/>
        </w:rPr>
        <w:t>”</w:t>
      </w:r>
      <w:r w:rsidR="00C10E8A">
        <w:rPr>
          <w:sz w:val="22"/>
          <w:szCs w:val="22"/>
        </w:rPr>
        <w:t xml:space="preserve"> </w:t>
      </w:r>
      <w:proofErr w:type="spellStart"/>
      <w:r w:rsidR="00C10E8A" w:rsidRPr="00410293">
        <w:rPr>
          <w:i/>
          <w:iCs/>
          <w:sz w:val="22"/>
          <w:szCs w:val="22"/>
        </w:rPr>
        <w:t>Geotech</w:t>
      </w:r>
      <w:proofErr w:type="spellEnd"/>
      <w:r w:rsidRPr="00410293">
        <w:rPr>
          <w:i/>
          <w:iCs/>
          <w:sz w:val="22"/>
          <w:szCs w:val="22"/>
        </w:rPr>
        <w:t>.</w:t>
      </w:r>
      <w:r w:rsidR="00C10E8A" w:rsidRPr="00410293">
        <w:rPr>
          <w:i/>
          <w:iCs/>
          <w:sz w:val="22"/>
          <w:szCs w:val="22"/>
        </w:rPr>
        <w:t xml:space="preserve"> Test</w:t>
      </w:r>
      <w:r w:rsidRPr="00410293">
        <w:rPr>
          <w:i/>
          <w:iCs/>
          <w:sz w:val="22"/>
          <w:szCs w:val="22"/>
        </w:rPr>
        <w:t>.</w:t>
      </w:r>
      <w:r w:rsidR="00C10E8A" w:rsidRPr="00410293">
        <w:rPr>
          <w:i/>
          <w:iCs/>
          <w:sz w:val="22"/>
          <w:szCs w:val="22"/>
        </w:rPr>
        <w:t xml:space="preserve"> J</w:t>
      </w:r>
      <w:r w:rsidRPr="00410293">
        <w:rPr>
          <w:i/>
          <w:iCs/>
          <w:sz w:val="22"/>
          <w:szCs w:val="22"/>
        </w:rPr>
        <w:t>.</w:t>
      </w:r>
      <w:r w:rsidR="00C10E8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vol. </w:t>
      </w:r>
      <w:r w:rsidR="00C10E8A">
        <w:rPr>
          <w:sz w:val="22"/>
          <w:szCs w:val="22"/>
        </w:rPr>
        <w:t>24</w:t>
      </w:r>
      <w:r>
        <w:rPr>
          <w:sz w:val="22"/>
          <w:szCs w:val="22"/>
        </w:rPr>
        <w:t>, no. 3</w:t>
      </w:r>
      <w:r w:rsidR="00C10E8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pp. </w:t>
      </w:r>
      <w:r w:rsidR="00C10E8A">
        <w:rPr>
          <w:sz w:val="22"/>
          <w:szCs w:val="22"/>
        </w:rPr>
        <w:t>301-313</w:t>
      </w:r>
      <w:r>
        <w:rPr>
          <w:sz w:val="22"/>
          <w:szCs w:val="22"/>
        </w:rPr>
        <w:t>, 2001</w:t>
      </w:r>
      <w:r w:rsidR="00C10E8A">
        <w:rPr>
          <w:sz w:val="22"/>
          <w:szCs w:val="22"/>
        </w:rPr>
        <w:t>.</w:t>
      </w:r>
    </w:p>
    <w:p w:rsidR="00EB6008" w:rsidRDefault="00E40C79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>B.T. Nguyen</w:t>
      </w:r>
      <w:r w:rsidR="00EB6008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Mohajerani</w:t>
      </w:r>
      <w:proofErr w:type="spellEnd"/>
      <w:r w:rsidR="00EB6008">
        <w:rPr>
          <w:sz w:val="22"/>
          <w:szCs w:val="22"/>
        </w:rPr>
        <w:t>, “A new lightweight dynamic cone penetrometer for laboratory and field applications,</w:t>
      </w:r>
      <w:r>
        <w:rPr>
          <w:sz w:val="22"/>
          <w:szCs w:val="22"/>
        </w:rPr>
        <w:t>”</w:t>
      </w:r>
      <w:r w:rsidR="00EB6008">
        <w:rPr>
          <w:sz w:val="22"/>
          <w:szCs w:val="22"/>
        </w:rPr>
        <w:t xml:space="preserve"> </w:t>
      </w:r>
      <w:r w:rsidR="00EB6008" w:rsidRPr="00410293">
        <w:rPr>
          <w:i/>
          <w:iCs/>
          <w:sz w:val="22"/>
          <w:szCs w:val="22"/>
        </w:rPr>
        <w:t>Aust</w:t>
      </w:r>
      <w:r w:rsidRPr="00410293">
        <w:rPr>
          <w:i/>
          <w:iCs/>
          <w:sz w:val="22"/>
          <w:szCs w:val="22"/>
        </w:rPr>
        <w:t>.</w:t>
      </w:r>
      <w:r w:rsidR="00EB6008" w:rsidRPr="00410293">
        <w:rPr>
          <w:i/>
          <w:iCs/>
          <w:sz w:val="22"/>
          <w:szCs w:val="22"/>
        </w:rPr>
        <w:t xml:space="preserve"> </w:t>
      </w:r>
      <w:proofErr w:type="spellStart"/>
      <w:r w:rsidR="00EB6008" w:rsidRPr="00410293">
        <w:rPr>
          <w:i/>
          <w:iCs/>
          <w:sz w:val="22"/>
          <w:szCs w:val="22"/>
        </w:rPr>
        <w:t>Geomech</w:t>
      </w:r>
      <w:proofErr w:type="spellEnd"/>
      <w:r w:rsidR="00410293" w:rsidRPr="00410293">
        <w:rPr>
          <w:i/>
          <w:iCs/>
          <w:sz w:val="22"/>
          <w:szCs w:val="22"/>
        </w:rPr>
        <w:t>.</w:t>
      </w:r>
      <w:r w:rsidR="00EB6008" w:rsidRPr="00410293">
        <w:rPr>
          <w:i/>
          <w:iCs/>
          <w:sz w:val="22"/>
          <w:szCs w:val="22"/>
        </w:rPr>
        <w:t xml:space="preserve"> J</w:t>
      </w:r>
      <w:r w:rsidR="00410293" w:rsidRPr="00410293">
        <w:rPr>
          <w:i/>
          <w:iCs/>
          <w:sz w:val="22"/>
          <w:szCs w:val="22"/>
        </w:rPr>
        <w:t>.</w:t>
      </w:r>
      <w:r>
        <w:rPr>
          <w:sz w:val="22"/>
          <w:szCs w:val="22"/>
        </w:rPr>
        <w:t>, vol.</w:t>
      </w:r>
      <w:r w:rsidR="00EB6008">
        <w:rPr>
          <w:sz w:val="22"/>
          <w:szCs w:val="22"/>
        </w:rPr>
        <w:t xml:space="preserve"> 47, </w:t>
      </w:r>
      <w:r>
        <w:rPr>
          <w:sz w:val="22"/>
          <w:szCs w:val="22"/>
        </w:rPr>
        <w:t xml:space="preserve">pp. </w:t>
      </w:r>
      <w:r w:rsidR="00EB6008">
        <w:rPr>
          <w:sz w:val="22"/>
          <w:szCs w:val="22"/>
        </w:rPr>
        <w:t>41-50</w:t>
      </w:r>
      <w:r>
        <w:rPr>
          <w:sz w:val="22"/>
          <w:szCs w:val="22"/>
        </w:rPr>
        <w:t>, 2012</w:t>
      </w:r>
      <w:r w:rsidR="00EB6008">
        <w:rPr>
          <w:sz w:val="22"/>
          <w:szCs w:val="22"/>
        </w:rPr>
        <w:t>.</w:t>
      </w:r>
    </w:p>
    <w:p w:rsidR="00EB6008" w:rsidRDefault="00843761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>B.T. Nguyen</w:t>
      </w:r>
      <w:r w:rsidR="00EB6008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A. </w:t>
      </w:r>
      <w:proofErr w:type="spellStart"/>
      <w:r w:rsidR="00EB6008">
        <w:rPr>
          <w:sz w:val="22"/>
          <w:szCs w:val="22"/>
        </w:rPr>
        <w:t>Mohajerani</w:t>
      </w:r>
      <w:proofErr w:type="spellEnd"/>
      <w:r w:rsidR="00EB6008">
        <w:rPr>
          <w:sz w:val="22"/>
          <w:szCs w:val="22"/>
        </w:rPr>
        <w:t>, “Determination of CBR for fine-grained soils using a dynamic lightweight cone penetrometer,</w:t>
      </w:r>
      <w:r w:rsidR="00E40C79">
        <w:rPr>
          <w:sz w:val="22"/>
          <w:szCs w:val="22"/>
        </w:rPr>
        <w:t>”</w:t>
      </w:r>
      <w:r w:rsidR="00EB6008">
        <w:rPr>
          <w:sz w:val="22"/>
          <w:szCs w:val="22"/>
        </w:rPr>
        <w:t xml:space="preserve"> </w:t>
      </w:r>
      <w:r w:rsidR="00EB6008" w:rsidRPr="00410293">
        <w:rPr>
          <w:i/>
          <w:iCs/>
          <w:sz w:val="22"/>
          <w:szCs w:val="22"/>
        </w:rPr>
        <w:t>Int. J Pavem</w:t>
      </w:r>
      <w:r w:rsidRPr="00410293">
        <w:rPr>
          <w:i/>
          <w:iCs/>
          <w:sz w:val="22"/>
          <w:szCs w:val="22"/>
        </w:rPr>
        <w:t>ent Engineering</w:t>
      </w:r>
      <w:r>
        <w:rPr>
          <w:sz w:val="22"/>
          <w:szCs w:val="22"/>
        </w:rPr>
        <w:t>, vol. 16, no. 2, pp. 180-189, 2015.</w:t>
      </w:r>
    </w:p>
    <w:p w:rsidR="00C10E8A" w:rsidRDefault="00843761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S.I.K. </w:t>
      </w:r>
      <w:proofErr w:type="spellStart"/>
      <w:r w:rsidR="00C10E8A">
        <w:rPr>
          <w:sz w:val="22"/>
          <w:szCs w:val="22"/>
        </w:rPr>
        <w:t>Ampadu</w:t>
      </w:r>
      <w:proofErr w:type="spellEnd"/>
      <w:r w:rsidR="00C10E8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P. </w:t>
      </w:r>
      <w:proofErr w:type="spellStart"/>
      <w:r>
        <w:rPr>
          <w:sz w:val="22"/>
          <w:szCs w:val="22"/>
        </w:rPr>
        <w:t>Ackah</w:t>
      </w:r>
      <w:proofErr w:type="spellEnd"/>
      <w:r w:rsidR="00C10E8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F.O. </w:t>
      </w:r>
      <w:proofErr w:type="spellStart"/>
      <w:r w:rsidR="00C10E8A">
        <w:rPr>
          <w:sz w:val="22"/>
          <w:szCs w:val="22"/>
        </w:rPr>
        <w:t>Nimo</w:t>
      </w:r>
      <w:proofErr w:type="spellEnd"/>
      <w:r w:rsidR="00C10E8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F. </w:t>
      </w:r>
      <w:proofErr w:type="spellStart"/>
      <w:r>
        <w:rPr>
          <w:sz w:val="22"/>
          <w:szCs w:val="22"/>
        </w:rPr>
        <w:t>Boadu</w:t>
      </w:r>
      <w:proofErr w:type="spellEnd"/>
      <w:r>
        <w:rPr>
          <w:sz w:val="22"/>
          <w:szCs w:val="22"/>
        </w:rPr>
        <w:t>,</w:t>
      </w:r>
      <w:r w:rsidR="00C10E8A">
        <w:rPr>
          <w:sz w:val="22"/>
          <w:szCs w:val="22"/>
        </w:rPr>
        <w:t xml:space="preserve"> “A laboratory study of horizontal confinement effect on the dynamic cone penetration index of a lateritic soil,</w:t>
      </w:r>
      <w:r>
        <w:rPr>
          <w:sz w:val="22"/>
          <w:szCs w:val="22"/>
        </w:rPr>
        <w:t>”</w:t>
      </w:r>
      <w:r w:rsidR="00C10E8A">
        <w:rPr>
          <w:sz w:val="22"/>
          <w:szCs w:val="22"/>
        </w:rPr>
        <w:t xml:space="preserve"> </w:t>
      </w:r>
      <w:r w:rsidR="00C10E8A" w:rsidRPr="00410293">
        <w:rPr>
          <w:i/>
          <w:iCs/>
          <w:sz w:val="22"/>
          <w:szCs w:val="22"/>
        </w:rPr>
        <w:t xml:space="preserve">Transportation </w:t>
      </w:r>
      <w:proofErr w:type="spellStart"/>
      <w:r w:rsidR="00C10E8A" w:rsidRPr="00410293">
        <w:rPr>
          <w:i/>
          <w:iCs/>
          <w:sz w:val="22"/>
          <w:szCs w:val="22"/>
        </w:rPr>
        <w:t>Geotechnics</w:t>
      </w:r>
      <w:proofErr w:type="spellEnd"/>
      <w:r w:rsidR="00C10E8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vol. </w:t>
      </w:r>
      <w:r w:rsidR="00C10E8A">
        <w:rPr>
          <w:sz w:val="22"/>
          <w:szCs w:val="22"/>
        </w:rPr>
        <w:t xml:space="preserve">10, </w:t>
      </w:r>
      <w:r>
        <w:rPr>
          <w:sz w:val="22"/>
          <w:szCs w:val="22"/>
        </w:rPr>
        <w:t>pp. 47-61, 2017.</w:t>
      </w:r>
    </w:p>
    <w:p w:rsidR="000A1E53" w:rsidRDefault="000A1E53" w:rsidP="000A1E53">
      <w:pPr>
        <w:numPr>
          <w:ilvl w:val="0"/>
          <w:numId w:val="18"/>
        </w:numPr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Sawangsuriya</w:t>
      </w:r>
      <w:proofErr w:type="spellEnd"/>
      <w:r w:rsidRPr="000A1E5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U. </w:t>
      </w:r>
      <w:proofErr w:type="spellStart"/>
      <w:r>
        <w:rPr>
          <w:sz w:val="22"/>
          <w:szCs w:val="22"/>
        </w:rPr>
        <w:t>Krabuanrat</w:t>
      </w:r>
      <w:proofErr w:type="spellEnd"/>
      <w:r w:rsidRPr="000A1E5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J. </w:t>
      </w:r>
      <w:proofErr w:type="spellStart"/>
      <w:r w:rsidRPr="000A1E53">
        <w:rPr>
          <w:sz w:val="22"/>
          <w:szCs w:val="22"/>
        </w:rPr>
        <w:t>Sunits</w:t>
      </w:r>
      <w:r>
        <w:rPr>
          <w:sz w:val="22"/>
          <w:szCs w:val="22"/>
        </w:rPr>
        <w:t>akul</w:t>
      </w:r>
      <w:proofErr w:type="spellEnd"/>
      <w:r>
        <w:rPr>
          <w:sz w:val="22"/>
          <w:szCs w:val="22"/>
        </w:rPr>
        <w:t xml:space="preserve">, and W. </w:t>
      </w:r>
      <w:proofErr w:type="spellStart"/>
      <w:r>
        <w:rPr>
          <w:sz w:val="22"/>
          <w:szCs w:val="22"/>
        </w:rPr>
        <w:t>Sramoon</w:t>
      </w:r>
      <w:proofErr w:type="spellEnd"/>
      <w:r w:rsidRPr="000A1E53">
        <w:rPr>
          <w:sz w:val="22"/>
          <w:szCs w:val="22"/>
        </w:rPr>
        <w:t xml:space="preserve">, “Effect of lateral confinement on California Bearing Ratio (CBR) test,” </w:t>
      </w:r>
      <w:r w:rsidRPr="000A1E53">
        <w:rPr>
          <w:i/>
          <w:iCs/>
          <w:sz w:val="22"/>
          <w:szCs w:val="22"/>
        </w:rPr>
        <w:t>Proc</w:t>
      </w:r>
      <w:r>
        <w:rPr>
          <w:i/>
          <w:iCs/>
          <w:sz w:val="22"/>
          <w:szCs w:val="22"/>
        </w:rPr>
        <w:t>.</w:t>
      </w:r>
      <w:r w:rsidRPr="000A1E53">
        <w:rPr>
          <w:i/>
          <w:iCs/>
          <w:sz w:val="22"/>
          <w:szCs w:val="22"/>
        </w:rPr>
        <w:t xml:space="preserve"> of the 18th Southeast Asian Geotechnical Conf</w:t>
      </w:r>
      <w:r>
        <w:rPr>
          <w:i/>
          <w:iCs/>
          <w:sz w:val="22"/>
          <w:szCs w:val="22"/>
        </w:rPr>
        <w:t>.</w:t>
      </w:r>
      <w:r w:rsidRPr="000A1E53">
        <w:rPr>
          <w:sz w:val="22"/>
          <w:szCs w:val="22"/>
        </w:rPr>
        <w:t xml:space="preserve">, Singapore, </w:t>
      </w:r>
      <w:r>
        <w:rPr>
          <w:sz w:val="22"/>
          <w:szCs w:val="22"/>
        </w:rPr>
        <w:t>2013</w:t>
      </w:r>
      <w:r w:rsidRPr="000A1E53">
        <w:rPr>
          <w:sz w:val="22"/>
          <w:szCs w:val="22"/>
        </w:rPr>
        <w:t>.</w:t>
      </w:r>
    </w:p>
    <w:p w:rsidR="00AA6043" w:rsidRPr="00B54AB8" w:rsidRDefault="00AA6043" w:rsidP="00B21A4D">
      <w:pPr>
        <w:numPr>
          <w:ilvl w:val="0"/>
          <w:numId w:val="18"/>
        </w:numPr>
        <w:autoSpaceDE w:val="0"/>
        <w:autoSpaceDN w:val="0"/>
        <w:ind w:left="357" w:hanging="357"/>
        <w:rPr>
          <w:sz w:val="22"/>
          <w:szCs w:val="22"/>
        </w:rPr>
      </w:pPr>
      <w:r>
        <w:rPr>
          <w:sz w:val="22"/>
          <w:szCs w:val="22"/>
        </w:rPr>
        <w:t>ASTM D6951, Standard test method for use of the dynamic cone penetrometer in shallow pavement applications, West Conshohocken, PA, ASTM International, 2003.</w:t>
      </w:r>
    </w:p>
    <w:p w:rsidR="00B21A4D" w:rsidRPr="00B54AB8" w:rsidRDefault="00B21A4D" w:rsidP="00B707A7">
      <w:pPr>
        <w:ind w:left="426" w:hanging="426"/>
        <w:mirrorIndents/>
        <w:rPr>
          <w:sz w:val="22"/>
          <w:szCs w:val="22"/>
        </w:rPr>
      </w:pPr>
    </w:p>
    <w:sectPr w:rsidR="00B21A4D" w:rsidRPr="00B54AB8" w:rsidSect="008D3DC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680" w:bottom="1440" w:left="680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F6F" w:rsidRDefault="00A60F6F">
      <w:r>
        <w:separator/>
      </w:r>
    </w:p>
  </w:endnote>
  <w:endnote w:type="continuationSeparator" w:id="0">
    <w:p w:rsidR="00A60F6F" w:rsidRDefault="00A6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7C0" w:rsidRDefault="00BD27C0">
    <w:pPr>
      <w:pStyle w:val="Footer"/>
    </w:pPr>
  </w:p>
  <w:p w:rsidR="00BD27C0" w:rsidRDefault="00BD27C0"/>
  <w:p w:rsidR="00BD27C0" w:rsidRDefault="00BD27C0" w:rsidP="006D0AE6">
    <w:pPr>
      <w:ind w:firstLine="426"/>
    </w:pPr>
  </w:p>
  <w:p w:rsidR="00BD27C0" w:rsidRDefault="00BD27C0" w:rsidP="006D0AE6">
    <w:pPr>
      <w:ind w:firstLine="284"/>
    </w:pPr>
  </w:p>
  <w:p w:rsidR="00BD27C0" w:rsidRDefault="00BD27C0" w:rsidP="006D0AE6">
    <w:pPr>
      <w:ind w:firstLine="142"/>
    </w:pPr>
  </w:p>
  <w:p w:rsidR="00BD27C0" w:rsidRDefault="00BD27C0" w:rsidP="006D0AE6">
    <w:pPr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7C0" w:rsidRDefault="00BD27C0" w:rsidP="006D0AE6">
    <w:pPr>
      <w:pStyle w:val="Footer"/>
      <w:ind w:firstLine="0"/>
      <w:jc w:val="center"/>
    </w:pPr>
  </w:p>
  <w:p w:rsidR="00BD27C0" w:rsidRPr="00783D6A" w:rsidRDefault="00BD27C0" w:rsidP="001D244E">
    <w:pPr>
      <w:pStyle w:val="Footer"/>
      <w:ind w:firstLine="0"/>
      <w:jc w:val="center"/>
      <w:rPr>
        <w:sz w:val="22"/>
      </w:rPr>
    </w:pPr>
    <w:r>
      <w:rPr>
        <w:sz w:val="22"/>
      </w:rPr>
      <w:t xml:space="preserve">ICGRE </w:t>
    </w:r>
    <w:r w:rsidR="00AE566D">
      <w:rPr>
        <w:sz w:val="22"/>
      </w:rPr>
      <w:t>109</w:t>
    </w:r>
    <w:r w:rsidRPr="00783D6A">
      <w:rPr>
        <w:sz w:val="22"/>
      </w:rPr>
      <w:t>-</w:t>
    </w:r>
    <w:r w:rsidRPr="00783D6A">
      <w:rPr>
        <w:sz w:val="22"/>
      </w:rPr>
      <w:fldChar w:fldCharType="begin"/>
    </w:r>
    <w:r w:rsidRPr="00783D6A">
      <w:rPr>
        <w:sz w:val="22"/>
      </w:rPr>
      <w:instrText xml:space="preserve"> PAGE </w:instrText>
    </w:r>
    <w:r w:rsidRPr="00783D6A">
      <w:rPr>
        <w:sz w:val="22"/>
      </w:rPr>
      <w:fldChar w:fldCharType="separate"/>
    </w:r>
    <w:r w:rsidR="00C97245">
      <w:rPr>
        <w:noProof/>
        <w:sz w:val="22"/>
      </w:rPr>
      <w:t>4</w:t>
    </w:r>
    <w:r w:rsidRPr="00783D6A">
      <w:rPr>
        <w:noProof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7C0" w:rsidRPr="004D7489" w:rsidRDefault="00BD27C0" w:rsidP="001D244E">
    <w:pPr>
      <w:pStyle w:val="Footer"/>
      <w:ind w:firstLine="0"/>
      <w:jc w:val="center"/>
      <w:rPr>
        <w:sz w:val="22"/>
        <w:lang w:val="sl-SI"/>
      </w:rPr>
    </w:pPr>
    <w:r>
      <w:rPr>
        <w:sz w:val="22"/>
        <w:lang w:val="sl-SI"/>
      </w:rPr>
      <w:t xml:space="preserve">ICGRE </w:t>
    </w:r>
    <w:r w:rsidR="00D2166B">
      <w:rPr>
        <w:sz w:val="22"/>
        <w:lang w:val="sl-SI"/>
      </w:rPr>
      <w:t>109</w:t>
    </w:r>
    <w:r w:rsidRPr="004D7489">
      <w:rPr>
        <w:sz w:val="22"/>
        <w:lang w:val="sl-SI"/>
      </w:rPr>
      <w:t>-</w:t>
    </w:r>
    <w:r w:rsidRPr="004D7489">
      <w:rPr>
        <w:rStyle w:val="PageNumber"/>
        <w:sz w:val="22"/>
      </w:rPr>
      <w:fldChar w:fldCharType="begin"/>
    </w:r>
    <w:r w:rsidRPr="004D7489">
      <w:rPr>
        <w:rStyle w:val="PageNumber"/>
        <w:sz w:val="22"/>
      </w:rPr>
      <w:instrText xml:space="preserve"> PAGE </w:instrText>
    </w:r>
    <w:r w:rsidRPr="004D7489">
      <w:rPr>
        <w:rStyle w:val="PageNumber"/>
        <w:sz w:val="22"/>
      </w:rPr>
      <w:fldChar w:fldCharType="separate"/>
    </w:r>
    <w:r w:rsidR="00C97245">
      <w:rPr>
        <w:rStyle w:val="PageNumber"/>
        <w:noProof/>
        <w:sz w:val="22"/>
      </w:rPr>
      <w:t>1</w:t>
    </w:r>
    <w:r w:rsidRPr="004D7489"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F6F" w:rsidRDefault="00A60F6F">
      <w:r>
        <w:separator/>
      </w:r>
    </w:p>
  </w:footnote>
  <w:footnote w:type="continuationSeparator" w:id="0">
    <w:p w:rsidR="00A60F6F" w:rsidRDefault="00A60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7C0" w:rsidRDefault="00BD27C0">
    <w:pPr>
      <w:pStyle w:val="Header"/>
    </w:pPr>
  </w:p>
  <w:p w:rsidR="00BD27C0" w:rsidRDefault="00BD27C0"/>
  <w:p w:rsidR="00BD27C0" w:rsidRDefault="00BD27C0" w:rsidP="006D0AE6">
    <w:pPr>
      <w:ind w:firstLine="426"/>
    </w:pPr>
  </w:p>
  <w:p w:rsidR="00BD27C0" w:rsidRDefault="00BD27C0" w:rsidP="006D0AE6">
    <w:pPr>
      <w:ind w:firstLine="284"/>
    </w:pPr>
  </w:p>
  <w:p w:rsidR="00BD27C0" w:rsidRDefault="00BD27C0" w:rsidP="006D0AE6">
    <w:pPr>
      <w:ind w:firstLine="142"/>
    </w:pPr>
  </w:p>
  <w:p w:rsidR="00BD27C0" w:rsidRDefault="00BD27C0" w:rsidP="006D0AE6">
    <w:pPr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7C0" w:rsidRPr="006D4F5A" w:rsidRDefault="00BD27C0" w:rsidP="006D4F5A">
    <w:pPr>
      <w:pStyle w:val="Header"/>
      <w:ind w:firstLine="0"/>
      <w:rPr>
        <w:i/>
        <w:lang w:val="en-CA"/>
      </w:rPr>
    </w:pPr>
    <w:r w:rsidRPr="006D4F5A">
      <w:rPr>
        <w:i/>
        <w:lang w:val="en-CA"/>
      </w:rPr>
      <w:t>Proceedings of the 3</w:t>
    </w:r>
    <w:r w:rsidRPr="00D02C25">
      <w:rPr>
        <w:i/>
        <w:vertAlign w:val="superscript"/>
        <w:lang w:val="en-CA"/>
      </w:rPr>
      <w:t>rd</w:t>
    </w:r>
    <w:r w:rsidRPr="006D4F5A">
      <w:rPr>
        <w:i/>
        <w:lang w:val="en-CA"/>
      </w:rPr>
      <w:t xml:space="preserve"> World Congress on Civil, Structural, and Environmental Engineering (CSEE’18)</w:t>
    </w:r>
  </w:p>
  <w:p w:rsidR="00BD27C0" w:rsidRDefault="00BD27C0" w:rsidP="006D4F5A">
    <w:pPr>
      <w:pStyle w:val="Header"/>
      <w:ind w:firstLine="0"/>
      <w:rPr>
        <w:i/>
        <w:lang w:val="en-CA"/>
      </w:rPr>
    </w:pPr>
    <w:r w:rsidRPr="006D4F5A">
      <w:rPr>
        <w:i/>
        <w:lang w:val="en-CA"/>
      </w:rPr>
      <w:t xml:space="preserve">Budapest, Hungary – </w:t>
    </w:r>
    <w:r w:rsidRPr="00E56354">
      <w:rPr>
        <w:i/>
        <w:lang w:val="en-CA"/>
      </w:rPr>
      <w:t>April 8 - 10</w:t>
    </w:r>
    <w:r w:rsidRPr="006D4F5A">
      <w:rPr>
        <w:i/>
        <w:lang w:val="en-CA"/>
      </w:rPr>
      <w:t>, 2018</w:t>
    </w:r>
  </w:p>
  <w:p w:rsidR="00BD27C0" w:rsidRDefault="00AE566D" w:rsidP="000E469E">
    <w:pPr>
      <w:pStyle w:val="Header"/>
      <w:ind w:firstLine="0"/>
      <w:rPr>
        <w:i/>
        <w:lang w:val="en-CA"/>
      </w:rPr>
    </w:pPr>
    <w:r>
      <w:rPr>
        <w:i/>
        <w:lang w:val="en-CA"/>
      </w:rPr>
      <w:t>Paper No. ICGRE 109</w:t>
    </w:r>
    <w:r w:rsidR="00BD27C0" w:rsidRPr="00BB455A">
      <w:rPr>
        <w:i/>
        <w:lang w:val="en-CA"/>
      </w:rPr>
      <w:t xml:space="preserve"> </w:t>
    </w:r>
  </w:p>
  <w:p w:rsidR="00BD27C0" w:rsidRPr="00BB455A" w:rsidRDefault="00BD27C0" w:rsidP="008D3DCC">
    <w:pPr>
      <w:pStyle w:val="Header"/>
      <w:ind w:firstLine="0"/>
    </w:pPr>
    <w:r>
      <w:rPr>
        <w:i/>
        <w:lang w:val="en-CA"/>
      </w:rPr>
      <w:t>DOI: TBA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  <w:num w:numId="15">
    <w:abstractNumId w:val="11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82"/>
    <w:rsid w:val="00004CF4"/>
    <w:rsid w:val="000078A6"/>
    <w:rsid w:val="00021A6C"/>
    <w:rsid w:val="00026BC3"/>
    <w:rsid w:val="00026D13"/>
    <w:rsid w:val="00036E07"/>
    <w:rsid w:val="00054FA2"/>
    <w:rsid w:val="0005712E"/>
    <w:rsid w:val="0006758B"/>
    <w:rsid w:val="00093189"/>
    <w:rsid w:val="00095DE1"/>
    <w:rsid w:val="000A1E53"/>
    <w:rsid w:val="000C046D"/>
    <w:rsid w:val="000C35BD"/>
    <w:rsid w:val="000C7419"/>
    <w:rsid w:val="000E469E"/>
    <w:rsid w:val="000E6690"/>
    <w:rsid w:val="000F268D"/>
    <w:rsid w:val="000F3578"/>
    <w:rsid w:val="0011741F"/>
    <w:rsid w:val="00125A5C"/>
    <w:rsid w:val="001400EE"/>
    <w:rsid w:val="00143239"/>
    <w:rsid w:val="00146866"/>
    <w:rsid w:val="0016494C"/>
    <w:rsid w:val="001726F9"/>
    <w:rsid w:val="0017676D"/>
    <w:rsid w:val="00182304"/>
    <w:rsid w:val="001C3E92"/>
    <w:rsid w:val="001D244E"/>
    <w:rsid w:val="001E0541"/>
    <w:rsid w:val="001F0C01"/>
    <w:rsid w:val="001F2892"/>
    <w:rsid w:val="001F4C3D"/>
    <w:rsid w:val="001F57B9"/>
    <w:rsid w:val="001F78D9"/>
    <w:rsid w:val="002029F0"/>
    <w:rsid w:val="00204581"/>
    <w:rsid w:val="00217ABC"/>
    <w:rsid w:val="00220E8C"/>
    <w:rsid w:val="002239D7"/>
    <w:rsid w:val="00243A47"/>
    <w:rsid w:val="0024718D"/>
    <w:rsid w:val="00252594"/>
    <w:rsid w:val="00270C0E"/>
    <w:rsid w:val="002936DB"/>
    <w:rsid w:val="002974A8"/>
    <w:rsid w:val="002976A3"/>
    <w:rsid w:val="002B3169"/>
    <w:rsid w:val="002B47A5"/>
    <w:rsid w:val="002B6321"/>
    <w:rsid w:val="002C5633"/>
    <w:rsid w:val="002D0585"/>
    <w:rsid w:val="002D707C"/>
    <w:rsid w:val="002E19E8"/>
    <w:rsid w:val="002E3A2D"/>
    <w:rsid w:val="002E457C"/>
    <w:rsid w:val="002F00CB"/>
    <w:rsid w:val="002F18B9"/>
    <w:rsid w:val="002F788F"/>
    <w:rsid w:val="0030251D"/>
    <w:rsid w:val="00322C87"/>
    <w:rsid w:val="003263B6"/>
    <w:rsid w:val="00336CE5"/>
    <w:rsid w:val="003571F4"/>
    <w:rsid w:val="00374491"/>
    <w:rsid w:val="00375B18"/>
    <w:rsid w:val="00383996"/>
    <w:rsid w:val="00393AC9"/>
    <w:rsid w:val="00393D37"/>
    <w:rsid w:val="003A0B06"/>
    <w:rsid w:val="003A2ECF"/>
    <w:rsid w:val="003A3737"/>
    <w:rsid w:val="003A5478"/>
    <w:rsid w:val="003A7E1C"/>
    <w:rsid w:val="003B23F8"/>
    <w:rsid w:val="003B431A"/>
    <w:rsid w:val="003D62E7"/>
    <w:rsid w:val="003F1115"/>
    <w:rsid w:val="003F7C16"/>
    <w:rsid w:val="00407D83"/>
    <w:rsid w:val="00410293"/>
    <w:rsid w:val="004124A1"/>
    <w:rsid w:val="00425C78"/>
    <w:rsid w:val="00425E7C"/>
    <w:rsid w:val="00426695"/>
    <w:rsid w:val="00431704"/>
    <w:rsid w:val="004334AC"/>
    <w:rsid w:val="004407FE"/>
    <w:rsid w:val="00447433"/>
    <w:rsid w:val="0045462D"/>
    <w:rsid w:val="0046374D"/>
    <w:rsid w:val="00474D36"/>
    <w:rsid w:val="0047581A"/>
    <w:rsid w:val="004762B3"/>
    <w:rsid w:val="00476747"/>
    <w:rsid w:val="00482697"/>
    <w:rsid w:val="0048312F"/>
    <w:rsid w:val="004957D6"/>
    <w:rsid w:val="004A0EEA"/>
    <w:rsid w:val="004B0034"/>
    <w:rsid w:val="004B1DEC"/>
    <w:rsid w:val="004C62C9"/>
    <w:rsid w:val="004D3F57"/>
    <w:rsid w:val="004D7489"/>
    <w:rsid w:val="004E42AE"/>
    <w:rsid w:val="004E477E"/>
    <w:rsid w:val="004E519A"/>
    <w:rsid w:val="004E5A3D"/>
    <w:rsid w:val="005037DF"/>
    <w:rsid w:val="0050452D"/>
    <w:rsid w:val="00504D72"/>
    <w:rsid w:val="00511ABA"/>
    <w:rsid w:val="00511DC4"/>
    <w:rsid w:val="00530065"/>
    <w:rsid w:val="00530F23"/>
    <w:rsid w:val="00533CC3"/>
    <w:rsid w:val="00543723"/>
    <w:rsid w:val="005455D7"/>
    <w:rsid w:val="005538EF"/>
    <w:rsid w:val="00554ED4"/>
    <w:rsid w:val="00571D31"/>
    <w:rsid w:val="005774AE"/>
    <w:rsid w:val="0058158D"/>
    <w:rsid w:val="0059535B"/>
    <w:rsid w:val="005B32C5"/>
    <w:rsid w:val="005B64A9"/>
    <w:rsid w:val="005C1ED6"/>
    <w:rsid w:val="005D2244"/>
    <w:rsid w:val="005D6F99"/>
    <w:rsid w:val="005E2429"/>
    <w:rsid w:val="005F4E84"/>
    <w:rsid w:val="005F5165"/>
    <w:rsid w:val="005F6B10"/>
    <w:rsid w:val="006044B0"/>
    <w:rsid w:val="00610A3C"/>
    <w:rsid w:val="00617CF8"/>
    <w:rsid w:val="00624C07"/>
    <w:rsid w:val="006338D5"/>
    <w:rsid w:val="006359C2"/>
    <w:rsid w:val="00643C4C"/>
    <w:rsid w:val="00646969"/>
    <w:rsid w:val="00651D7C"/>
    <w:rsid w:val="006524D9"/>
    <w:rsid w:val="00666A71"/>
    <w:rsid w:val="0067379C"/>
    <w:rsid w:val="006807CF"/>
    <w:rsid w:val="00686280"/>
    <w:rsid w:val="006C3897"/>
    <w:rsid w:val="006D0AE6"/>
    <w:rsid w:val="006D120B"/>
    <w:rsid w:val="006D4F5A"/>
    <w:rsid w:val="006E5B59"/>
    <w:rsid w:val="006F2174"/>
    <w:rsid w:val="006F504F"/>
    <w:rsid w:val="00712C0A"/>
    <w:rsid w:val="00713DC6"/>
    <w:rsid w:val="00716DC7"/>
    <w:rsid w:val="00732F71"/>
    <w:rsid w:val="00742A33"/>
    <w:rsid w:val="00760288"/>
    <w:rsid w:val="00783D6A"/>
    <w:rsid w:val="00784C29"/>
    <w:rsid w:val="007A3085"/>
    <w:rsid w:val="007A3C7B"/>
    <w:rsid w:val="007D6929"/>
    <w:rsid w:val="008073AD"/>
    <w:rsid w:val="008252DD"/>
    <w:rsid w:val="008354E8"/>
    <w:rsid w:val="00843761"/>
    <w:rsid w:val="0084627A"/>
    <w:rsid w:val="008478E2"/>
    <w:rsid w:val="008501E7"/>
    <w:rsid w:val="00855D26"/>
    <w:rsid w:val="00873352"/>
    <w:rsid w:val="00874EC0"/>
    <w:rsid w:val="008841D0"/>
    <w:rsid w:val="00887758"/>
    <w:rsid w:val="008A1024"/>
    <w:rsid w:val="008A649D"/>
    <w:rsid w:val="008B567F"/>
    <w:rsid w:val="008C2A95"/>
    <w:rsid w:val="008D04CE"/>
    <w:rsid w:val="008D3DCC"/>
    <w:rsid w:val="008D4882"/>
    <w:rsid w:val="008F2FF4"/>
    <w:rsid w:val="008F40A6"/>
    <w:rsid w:val="009129F6"/>
    <w:rsid w:val="00915D10"/>
    <w:rsid w:val="00917E7F"/>
    <w:rsid w:val="00922520"/>
    <w:rsid w:val="00924569"/>
    <w:rsid w:val="00942400"/>
    <w:rsid w:val="009427CA"/>
    <w:rsid w:val="00942D5A"/>
    <w:rsid w:val="00942EA6"/>
    <w:rsid w:val="009533B9"/>
    <w:rsid w:val="00955768"/>
    <w:rsid w:val="009579E6"/>
    <w:rsid w:val="00962772"/>
    <w:rsid w:val="00976433"/>
    <w:rsid w:val="00993D26"/>
    <w:rsid w:val="00993FB2"/>
    <w:rsid w:val="00997B8E"/>
    <w:rsid w:val="009A25A4"/>
    <w:rsid w:val="009A41C9"/>
    <w:rsid w:val="009B340B"/>
    <w:rsid w:val="009B7E3A"/>
    <w:rsid w:val="009D7680"/>
    <w:rsid w:val="009D778B"/>
    <w:rsid w:val="009D7D74"/>
    <w:rsid w:val="009E1D60"/>
    <w:rsid w:val="009E2461"/>
    <w:rsid w:val="00A00164"/>
    <w:rsid w:val="00A03035"/>
    <w:rsid w:val="00A16191"/>
    <w:rsid w:val="00A2032C"/>
    <w:rsid w:val="00A23F2F"/>
    <w:rsid w:val="00A255BB"/>
    <w:rsid w:val="00A315C5"/>
    <w:rsid w:val="00A3284C"/>
    <w:rsid w:val="00A35C6E"/>
    <w:rsid w:val="00A47C1A"/>
    <w:rsid w:val="00A561CE"/>
    <w:rsid w:val="00A60F6F"/>
    <w:rsid w:val="00A63062"/>
    <w:rsid w:val="00A66AED"/>
    <w:rsid w:val="00A759DB"/>
    <w:rsid w:val="00A76109"/>
    <w:rsid w:val="00A77868"/>
    <w:rsid w:val="00A8176D"/>
    <w:rsid w:val="00A93879"/>
    <w:rsid w:val="00A941A9"/>
    <w:rsid w:val="00AA6043"/>
    <w:rsid w:val="00AB1F29"/>
    <w:rsid w:val="00AB3114"/>
    <w:rsid w:val="00AC3E0A"/>
    <w:rsid w:val="00AC5CCB"/>
    <w:rsid w:val="00AC7AF2"/>
    <w:rsid w:val="00AD2C9C"/>
    <w:rsid w:val="00AE566D"/>
    <w:rsid w:val="00AF3286"/>
    <w:rsid w:val="00B00D37"/>
    <w:rsid w:val="00B062FA"/>
    <w:rsid w:val="00B10CD7"/>
    <w:rsid w:val="00B15F1F"/>
    <w:rsid w:val="00B21A4D"/>
    <w:rsid w:val="00B34F70"/>
    <w:rsid w:val="00B434D6"/>
    <w:rsid w:val="00B477B1"/>
    <w:rsid w:val="00B47C3D"/>
    <w:rsid w:val="00B501FF"/>
    <w:rsid w:val="00B54AB8"/>
    <w:rsid w:val="00B62A02"/>
    <w:rsid w:val="00B707A7"/>
    <w:rsid w:val="00B84EE8"/>
    <w:rsid w:val="00B874F4"/>
    <w:rsid w:val="00B92D8F"/>
    <w:rsid w:val="00BA503C"/>
    <w:rsid w:val="00BB056E"/>
    <w:rsid w:val="00BB455A"/>
    <w:rsid w:val="00BC1842"/>
    <w:rsid w:val="00BD01EC"/>
    <w:rsid w:val="00BD27C0"/>
    <w:rsid w:val="00BE7DDB"/>
    <w:rsid w:val="00BF1067"/>
    <w:rsid w:val="00BF478C"/>
    <w:rsid w:val="00BF4CFF"/>
    <w:rsid w:val="00BF7AE8"/>
    <w:rsid w:val="00C007D0"/>
    <w:rsid w:val="00C0387D"/>
    <w:rsid w:val="00C06A9A"/>
    <w:rsid w:val="00C10B67"/>
    <w:rsid w:val="00C10E8A"/>
    <w:rsid w:val="00C1166A"/>
    <w:rsid w:val="00C1489B"/>
    <w:rsid w:val="00C22C0E"/>
    <w:rsid w:val="00C23DFD"/>
    <w:rsid w:val="00C35220"/>
    <w:rsid w:val="00C37406"/>
    <w:rsid w:val="00C50A4E"/>
    <w:rsid w:val="00C5255E"/>
    <w:rsid w:val="00C53F2D"/>
    <w:rsid w:val="00C54DAE"/>
    <w:rsid w:val="00C6433E"/>
    <w:rsid w:val="00C64866"/>
    <w:rsid w:val="00C84E3C"/>
    <w:rsid w:val="00C8674D"/>
    <w:rsid w:val="00C95558"/>
    <w:rsid w:val="00C97245"/>
    <w:rsid w:val="00CB0BF7"/>
    <w:rsid w:val="00CB63A4"/>
    <w:rsid w:val="00CC10BF"/>
    <w:rsid w:val="00CD521C"/>
    <w:rsid w:val="00CD71FD"/>
    <w:rsid w:val="00CF000A"/>
    <w:rsid w:val="00D02C25"/>
    <w:rsid w:val="00D04C3B"/>
    <w:rsid w:val="00D115B4"/>
    <w:rsid w:val="00D149AD"/>
    <w:rsid w:val="00D17B14"/>
    <w:rsid w:val="00D2166B"/>
    <w:rsid w:val="00D21B44"/>
    <w:rsid w:val="00D236A8"/>
    <w:rsid w:val="00D2747C"/>
    <w:rsid w:val="00D27C05"/>
    <w:rsid w:val="00D350F3"/>
    <w:rsid w:val="00D4130B"/>
    <w:rsid w:val="00D470F5"/>
    <w:rsid w:val="00D47D12"/>
    <w:rsid w:val="00D52F58"/>
    <w:rsid w:val="00D60060"/>
    <w:rsid w:val="00D60208"/>
    <w:rsid w:val="00D6533B"/>
    <w:rsid w:val="00D73A2A"/>
    <w:rsid w:val="00DA463A"/>
    <w:rsid w:val="00DB1761"/>
    <w:rsid w:val="00DB26C8"/>
    <w:rsid w:val="00DB410A"/>
    <w:rsid w:val="00DB691F"/>
    <w:rsid w:val="00DD1F4F"/>
    <w:rsid w:val="00DE71C0"/>
    <w:rsid w:val="00DF7A1F"/>
    <w:rsid w:val="00E075AB"/>
    <w:rsid w:val="00E21B1B"/>
    <w:rsid w:val="00E21F6D"/>
    <w:rsid w:val="00E25DEA"/>
    <w:rsid w:val="00E2787A"/>
    <w:rsid w:val="00E3095E"/>
    <w:rsid w:val="00E3609C"/>
    <w:rsid w:val="00E40C79"/>
    <w:rsid w:val="00E52540"/>
    <w:rsid w:val="00E5318A"/>
    <w:rsid w:val="00E55E2E"/>
    <w:rsid w:val="00E56354"/>
    <w:rsid w:val="00E627A7"/>
    <w:rsid w:val="00E62A40"/>
    <w:rsid w:val="00E64969"/>
    <w:rsid w:val="00E74541"/>
    <w:rsid w:val="00E81348"/>
    <w:rsid w:val="00E82842"/>
    <w:rsid w:val="00E846AE"/>
    <w:rsid w:val="00E960B7"/>
    <w:rsid w:val="00E9781F"/>
    <w:rsid w:val="00EA1107"/>
    <w:rsid w:val="00EA2869"/>
    <w:rsid w:val="00EA2E33"/>
    <w:rsid w:val="00EB6008"/>
    <w:rsid w:val="00EC70DC"/>
    <w:rsid w:val="00ED0214"/>
    <w:rsid w:val="00ED222E"/>
    <w:rsid w:val="00ED3EAB"/>
    <w:rsid w:val="00ED6805"/>
    <w:rsid w:val="00EE1FF7"/>
    <w:rsid w:val="00EE3212"/>
    <w:rsid w:val="00EF44F9"/>
    <w:rsid w:val="00F0086D"/>
    <w:rsid w:val="00F05027"/>
    <w:rsid w:val="00F07773"/>
    <w:rsid w:val="00F16DF2"/>
    <w:rsid w:val="00F17D51"/>
    <w:rsid w:val="00F23EE7"/>
    <w:rsid w:val="00F348E8"/>
    <w:rsid w:val="00F352B0"/>
    <w:rsid w:val="00F509F7"/>
    <w:rsid w:val="00F53D55"/>
    <w:rsid w:val="00F573F1"/>
    <w:rsid w:val="00F64C09"/>
    <w:rsid w:val="00F75314"/>
    <w:rsid w:val="00F80AE9"/>
    <w:rsid w:val="00F81F64"/>
    <w:rsid w:val="00FA6AC1"/>
    <w:rsid w:val="00FB4B7C"/>
    <w:rsid w:val="00FB65BF"/>
    <w:rsid w:val="00FC615B"/>
    <w:rsid w:val="00FD3D82"/>
    <w:rsid w:val="00FD47CD"/>
    <w:rsid w:val="00FD7E59"/>
    <w:rsid w:val="00FE3F64"/>
    <w:rsid w:val="00FF29D3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LineNumber">
    <w:name w:val="lin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ind w:firstLine="0"/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ces">
    <w:name w:val="References"/>
    <w:basedOn w:val="Normal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Equation">
    <w:name w:val="Equation"/>
    <w:basedOn w:val="Normal"/>
    <w:next w:val="Normal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1D244E"/>
    <w:rPr>
      <w:rFonts w:ascii="Arial" w:hAnsi="Arial"/>
      <w:b/>
      <w:kern w:val="28"/>
      <w:sz w:val="3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LineNumber">
    <w:name w:val="lin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ind w:firstLine="0"/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ces">
    <w:name w:val="References"/>
    <w:basedOn w:val="Normal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Equation">
    <w:name w:val="Equation"/>
    <w:basedOn w:val="Normal"/>
    <w:next w:val="Normal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1D244E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2317-91C4-4BA7-8873-E7F6F825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969</TotalTime>
  <Pages>1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/>
  <LinksUpToDate>false</LinksUpToDate>
  <CharactersWithSpaces>11584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creator>International ASET Inc.</dc:creator>
  <cp:lastModifiedBy>vio</cp:lastModifiedBy>
  <cp:revision>101</cp:revision>
  <cp:lastPrinted>2018-01-30T13:07:00Z</cp:lastPrinted>
  <dcterms:created xsi:type="dcterms:W3CDTF">2017-04-18T18:08:00Z</dcterms:created>
  <dcterms:modified xsi:type="dcterms:W3CDTF">2018-01-30T13:08:00Z</dcterms:modified>
</cp:coreProperties>
</file>