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57C" w:rsidRPr="002E457C" w:rsidRDefault="002E457C" w:rsidP="00976433">
      <w:pPr>
        <w:ind w:left="567" w:firstLine="0"/>
        <w:contextualSpacing/>
      </w:pPr>
      <w:bookmarkStart w:id="0" w:name="Title_2"/>
    </w:p>
    <w:bookmarkEnd w:id="0"/>
    <w:p w:rsidR="001D244E" w:rsidRPr="002E457C" w:rsidRDefault="00AD2D0F" w:rsidP="00976433">
      <w:pPr>
        <w:pStyle w:val="KonuBal"/>
        <w:ind w:firstLine="0"/>
      </w:pPr>
      <w:r w:rsidRPr="00AD2D0F">
        <w:t>Investigation of Lique</w:t>
      </w:r>
      <w:r>
        <w:t xml:space="preserve">faction </w:t>
      </w:r>
      <w:r w:rsidR="004B799E">
        <w:t>Behaviour</w:t>
      </w:r>
      <w:r>
        <w:t xml:space="preserve"> for </w:t>
      </w:r>
      <w:r w:rsidRPr="00AD2D0F">
        <w:t>Cohesive Soils</w:t>
      </w:r>
    </w:p>
    <w:p w:rsidR="001D244E" w:rsidRPr="003D4466" w:rsidRDefault="001D244E" w:rsidP="00976433">
      <w:pPr>
        <w:ind w:firstLine="0"/>
        <w:contextualSpacing/>
        <w:jc w:val="center"/>
        <w:rPr>
          <w:sz w:val="22"/>
          <w:szCs w:val="22"/>
        </w:rPr>
      </w:pPr>
    </w:p>
    <w:p w:rsidR="001D244E" w:rsidRPr="003D4466" w:rsidRDefault="00AD2D0F" w:rsidP="00976433">
      <w:pPr>
        <w:ind w:firstLine="0"/>
        <w:contextualSpacing/>
        <w:jc w:val="center"/>
        <w:rPr>
          <w:b/>
          <w:szCs w:val="24"/>
        </w:rPr>
      </w:pPr>
      <w:r>
        <w:rPr>
          <w:b/>
          <w:szCs w:val="24"/>
        </w:rPr>
        <w:t xml:space="preserve">Mehmet </w:t>
      </w:r>
      <w:proofErr w:type="spellStart"/>
      <w:r>
        <w:rPr>
          <w:b/>
          <w:szCs w:val="24"/>
        </w:rPr>
        <w:t>Inanc</w:t>
      </w:r>
      <w:proofErr w:type="spellEnd"/>
      <w:r>
        <w:rPr>
          <w:b/>
          <w:szCs w:val="24"/>
        </w:rPr>
        <w:t xml:space="preserve"> Onur</w:t>
      </w:r>
      <w:r w:rsidR="001D244E" w:rsidRPr="003D4466">
        <w:rPr>
          <w:b/>
          <w:szCs w:val="24"/>
          <w:vertAlign w:val="superscript"/>
        </w:rPr>
        <w:t>1</w:t>
      </w:r>
    </w:p>
    <w:p w:rsidR="001D244E" w:rsidRPr="0061481D" w:rsidRDefault="001D244E" w:rsidP="00976433">
      <w:pPr>
        <w:ind w:right="4" w:firstLine="0"/>
        <w:jc w:val="center"/>
        <w:rPr>
          <w:sz w:val="22"/>
          <w:szCs w:val="22"/>
        </w:rPr>
      </w:pPr>
      <w:r w:rsidRPr="0061481D">
        <w:rPr>
          <w:sz w:val="22"/>
          <w:szCs w:val="22"/>
          <w:vertAlign w:val="superscript"/>
        </w:rPr>
        <w:t>1</w:t>
      </w:r>
      <w:r w:rsidR="00AD2D0F">
        <w:rPr>
          <w:sz w:val="22"/>
          <w:szCs w:val="22"/>
        </w:rPr>
        <w:t>Anadolu University</w:t>
      </w:r>
      <w:r w:rsidR="00AD2D0F">
        <w:rPr>
          <w:sz w:val="22"/>
          <w:szCs w:val="22"/>
        </w:rPr>
        <w:br/>
        <w:t xml:space="preserve">2 </w:t>
      </w:r>
      <w:proofErr w:type="spellStart"/>
      <w:r w:rsidR="00AD2D0F">
        <w:rPr>
          <w:sz w:val="22"/>
          <w:szCs w:val="22"/>
        </w:rPr>
        <w:t>Eylul</w:t>
      </w:r>
      <w:proofErr w:type="spellEnd"/>
      <w:r w:rsidR="00AD2D0F">
        <w:rPr>
          <w:sz w:val="22"/>
          <w:szCs w:val="22"/>
        </w:rPr>
        <w:t xml:space="preserve"> Campus</w:t>
      </w:r>
      <w:r w:rsidRPr="0061481D">
        <w:rPr>
          <w:sz w:val="22"/>
          <w:szCs w:val="22"/>
        </w:rPr>
        <w:t xml:space="preserve">, </w:t>
      </w:r>
      <w:r w:rsidR="00AD2D0F">
        <w:rPr>
          <w:sz w:val="22"/>
          <w:szCs w:val="22"/>
        </w:rPr>
        <w:t>Eskisehir</w:t>
      </w:r>
      <w:r w:rsidRPr="0061481D">
        <w:rPr>
          <w:sz w:val="22"/>
          <w:szCs w:val="22"/>
        </w:rPr>
        <w:t xml:space="preserve">, </w:t>
      </w:r>
      <w:r w:rsidR="00AD2D0F">
        <w:rPr>
          <w:sz w:val="22"/>
          <w:szCs w:val="22"/>
        </w:rPr>
        <w:t>Turkey</w:t>
      </w:r>
    </w:p>
    <w:p w:rsidR="001D244E" w:rsidRPr="0061481D" w:rsidRDefault="00AD2D0F" w:rsidP="00AD2D0F">
      <w:pPr>
        <w:ind w:right="4" w:firstLine="0"/>
        <w:jc w:val="center"/>
        <w:rPr>
          <w:sz w:val="22"/>
          <w:szCs w:val="22"/>
        </w:rPr>
      </w:pPr>
      <w:r>
        <w:rPr>
          <w:sz w:val="22"/>
          <w:szCs w:val="22"/>
        </w:rPr>
        <w:t>mionur@anadolu.edu.tr</w:t>
      </w:r>
    </w:p>
    <w:p w:rsidR="002E457C" w:rsidRPr="000C7419" w:rsidRDefault="002E457C" w:rsidP="00976433">
      <w:pPr>
        <w:ind w:firstLine="0"/>
        <w:contextualSpacing/>
        <w:rPr>
          <w:sz w:val="22"/>
          <w:szCs w:val="22"/>
        </w:rPr>
      </w:pPr>
    </w:p>
    <w:p w:rsidR="002E457C" w:rsidRPr="000C7419" w:rsidRDefault="002E457C" w:rsidP="00976433">
      <w:pPr>
        <w:ind w:left="567" w:firstLine="0"/>
        <w:contextualSpacing/>
        <w:rPr>
          <w:sz w:val="22"/>
          <w:szCs w:val="22"/>
        </w:rPr>
      </w:pPr>
    </w:p>
    <w:p w:rsidR="00A47C1A" w:rsidRPr="006F2CE9" w:rsidRDefault="00021A6C" w:rsidP="00976433">
      <w:pPr>
        <w:ind w:right="4" w:firstLine="0"/>
        <w:rPr>
          <w:lang w:val="tr-TR"/>
        </w:rPr>
      </w:pPr>
      <w:r w:rsidRPr="000C7419">
        <w:rPr>
          <w:rFonts w:ascii="Arial" w:hAnsi="Arial" w:cs="Arial"/>
          <w:b/>
          <w:i/>
          <w:sz w:val="20"/>
        </w:rPr>
        <w:t>Abstract</w:t>
      </w:r>
      <w:r w:rsidR="001D244E">
        <w:rPr>
          <w:b/>
        </w:rPr>
        <w:t xml:space="preserve"> </w:t>
      </w:r>
      <w:r w:rsidRPr="00021A6C">
        <w:rPr>
          <w:b/>
          <w:sz w:val="20"/>
        </w:rPr>
        <w:t>-</w:t>
      </w:r>
      <w:r w:rsidR="001D244E">
        <w:rPr>
          <w:b/>
          <w:sz w:val="20"/>
        </w:rPr>
        <w:t xml:space="preserve"> </w:t>
      </w:r>
      <w:r w:rsidR="006F1B42" w:rsidRPr="006F1B42">
        <w:rPr>
          <w:sz w:val="20"/>
        </w:rPr>
        <w:t>The mo</w:t>
      </w:r>
      <w:r w:rsidR="006F1B42">
        <w:rPr>
          <w:sz w:val="20"/>
        </w:rPr>
        <w:t>st frequently problem</w:t>
      </w:r>
      <w:r w:rsidR="006F1B42" w:rsidRPr="006F1B42">
        <w:rPr>
          <w:sz w:val="20"/>
        </w:rPr>
        <w:t xml:space="preserve"> in the deformation of soils under dynamic effects is liquefaction. </w:t>
      </w:r>
      <w:r w:rsidR="00DE3E9C">
        <w:rPr>
          <w:sz w:val="20"/>
        </w:rPr>
        <w:t>D</w:t>
      </w:r>
      <w:r w:rsidR="00DE3E9C" w:rsidRPr="006F1B42">
        <w:rPr>
          <w:sz w:val="20"/>
        </w:rPr>
        <w:t xml:space="preserve">etailed investigation on the liquefaction is required </w:t>
      </w:r>
      <w:r w:rsidR="006F1B42" w:rsidRPr="006F1B42">
        <w:rPr>
          <w:sz w:val="20"/>
        </w:rPr>
        <w:t xml:space="preserve">to </w:t>
      </w:r>
      <w:r w:rsidR="0050450F">
        <w:rPr>
          <w:sz w:val="20"/>
        </w:rPr>
        <w:t xml:space="preserve">take precautions against </w:t>
      </w:r>
      <w:r w:rsidR="006F1B42" w:rsidRPr="006F1B42">
        <w:rPr>
          <w:sz w:val="20"/>
        </w:rPr>
        <w:t>deforma</w:t>
      </w:r>
      <w:r w:rsidR="008469E2">
        <w:rPr>
          <w:sz w:val="20"/>
        </w:rPr>
        <w:t>tions caused by earthquakes</w:t>
      </w:r>
      <w:r w:rsidR="006F1B42" w:rsidRPr="006F1B42">
        <w:rPr>
          <w:sz w:val="20"/>
        </w:rPr>
        <w:t xml:space="preserve">. </w:t>
      </w:r>
      <w:bookmarkStart w:id="1" w:name="_Hlk504578237"/>
      <w:r w:rsidR="006F1B42" w:rsidRPr="006F1B42">
        <w:rPr>
          <w:sz w:val="20"/>
        </w:rPr>
        <w:t>A good know</w:t>
      </w:r>
      <w:r w:rsidR="00FC1F82">
        <w:rPr>
          <w:sz w:val="20"/>
        </w:rPr>
        <w:t>ledge of the soil properties</w:t>
      </w:r>
      <w:r w:rsidR="006F1B42" w:rsidRPr="006F1B42">
        <w:rPr>
          <w:sz w:val="20"/>
        </w:rPr>
        <w:t xml:space="preserve"> is necessary for the predicti</w:t>
      </w:r>
      <w:r w:rsidR="00FC1F82">
        <w:rPr>
          <w:sz w:val="20"/>
        </w:rPr>
        <w:t>on of the liquefaction potential</w:t>
      </w:r>
      <w:r w:rsidR="002450D0">
        <w:rPr>
          <w:sz w:val="20"/>
        </w:rPr>
        <w:t>. However, it is thought that the liquefaction is limited with</w:t>
      </w:r>
      <w:r w:rsidR="006F1B42" w:rsidRPr="006F1B42">
        <w:rPr>
          <w:sz w:val="20"/>
        </w:rPr>
        <w:t xml:space="preserve"> only sand</w:t>
      </w:r>
      <w:r w:rsidR="002450D0">
        <w:rPr>
          <w:sz w:val="20"/>
        </w:rPr>
        <w:t>y soils</w:t>
      </w:r>
      <w:r w:rsidR="006F1B42" w:rsidRPr="006F1B42">
        <w:rPr>
          <w:sz w:val="20"/>
        </w:rPr>
        <w:t xml:space="preserve">, recent studies have found </w:t>
      </w:r>
      <w:r w:rsidR="002450D0" w:rsidRPr="002450D0">
        <w:rPr>
          <w:sz w:val="20"/>
        </w:rPr>
        <w:t xml:space="preserve">susceptibility </w:t>
      </w:r>
      <w:r w:rsidR="006F1B42" w:rsidRPr="006F1B42">
        <w:rPr>
          <w:sz w:val="20"/>
        </w:rPr>
        <w:t>to</w:t>
      </w:r>
      <w:r w:rsidR="002450D0">
        <w:rPr>
          <w:sz w:val="20"/>
        </w:rPr>
        <w:t xml:space="preserve"> liquefaction in silts, clays</w:t>
      </w:r>
      <w:r w:rsidR="00154822">
        <w:rPr>
          <w:sz w:val="20"/>
        </w:rPr>
        <w:t xml:space="preserve"> and gravels. S</w:t>
      </w:r>
      <w:r w:rsidR="006F1B42" w:rsidRPr="006F1B42">
        <w:rPr>
          <w:sz w:val="20"/>
        </w:rPr>
        <w:t>tudies on the liquefaction criteria for cohesive soils</w:t>
      </w:r>
      <w:r w:rsidR="00154822">
        <w:rPr>
          <w:sz w:val="20"/>
        </w:rPr>
        <w:t xml:space="preserve"> have been </w:t>
      </w:r>
      <w:r w:rsidR="006F1B42" w:rsidRPr="006F1B42">
        <w:rPr>
          <w:sz w:val="20"/>
        </w:rPr>
        <w:t>continue</w:t>
      </w:r>
      <w:r w:rsidR="00154822">
        <w:rPr>
          <w:sz w:val="20"/>
        </w:rPr>
        <w:t>d</w:t>
      </w:r>
      <w:r w:rsidR="006F1B42" w:rsidRPr="006F1B42">
        <w:rPr>
          <w:sz w:val="20"/>
        </w:rPr>
        <w:t xml:space="preserve">. In this study, cohesive soils </w:t>
      </w:r>
      <w:r w:rsidR="00301701">
        <w:rPr>
          <w:sz w:val="20"/>
        </w:rPr>
        <w:t>were tested by using</w:t>
      </w:r>
      <w:r w:rsidR="006F1B42" w:rsidRPr="006F1B42">
        <w:rPr>
          <w:sz w:val="20"/>
        </w:rPr>
        <w:t xml:space="preserve"> laboratory scale shaking table </w:t>
      </w:r>
      <w:r w:rsidR="00301701">
        <w:rPr>
          <w:sz w:val="20"/>
        </w:rPr>
        <w:t>to investigate</w:t>
      </w:r>
      <w:r w:rsidR="006F1B42" w:rsidRPr="006F1B42">
        <w:rPr>
          <w:sz w:val="20"/>
        </w:rPr>
        <w:t xml:space="preserve"> liquefaction potential. </w:t>
      </w:r>
      <w:bookmarkEnd w:id="1"/>
      <w:r w:rsidR="00C216C8">
        <w:rPr>
          <w:sz w:val="20"/>
        </w:rPr>
        <w:t xml:space="preserve">Firstly, </w:t>
      </w:r>
      <w:r w:rsidR="00C216C8" w:rsidRPr="00C216C8">
        <w:rPr>
          <w:sz w:val="20"/>
        </w:rPr>
        <w:t>soil</w:t>
      </w:r>
      <w:r w:rsidR="00C216C8">
        <w:rPr>
          <w:sz w:val="20"/>
        </w:rPr>
        <w:t xml:space="preserve"> </w:t>
      </w:r>
      <w:r w:rsidR="00C216C8" w:rsidRPr="00C216C8">
        <w:rPr>
          <w:sz w:val="20"/>
        </w:rPr>
        <w:t>s</w:t>
      </w:r>
      <w:r w:rsidR="00C216C8">
        <w:rPr>
          <w:sz w:val="20"/>
        </w:rPr>
        <w:t>amples</w:t>
      </w:r>
      <w:r w:rsidR="00E83EB8">
        <w:rPr>
          <w:sz w:val="20"/>
        </w:rPr>
        <w:t xml:space="preserve"> we</w:t>
      </w:r>
      <w:r w:rsidR="00C216C8" w:rsidRPr="00C216C8">
        <w:rPr>
          <w:sz w:val="20"/>
        </w:rPr>
        <w:t xml:space="preserve">re taken from the city of Eskisehir, Turkey. </w:t>
      </w:r>
      <w:r w:rsidR="00E42352">
        <w:rPr>
          <w:sz w:val="20"/>
        </w:rPr>
        <w:t>In the results of the study</w:t>
      </w:r>
      <w:r w:rsidR="00063599">
        <w:rPr>
          <w:sz w:val="20"/>
        </w:rPr>
        <w:t>;</w:t>
      </w:r>
      <w:r w:rsidR="003F2949">
        <w:rPr>
          <w:sz w:val="20"/>
        </w:rPr>
        <w:t xml:space="preserve"> parameters</w:t>
      </w:r>
      <w:r w:rsidR="00E42352" w:rsidRPr="006F1B42">
        <w:rPr>
          <w:sz w:val="20"/>
        </w:rPr>
        <w:t xml:space="preserve"> on </w:t>
      </w:r>
      <w:r w:rsidR="003F2949">
        <w:rPr>
          <w:sz w:val="20"/>
        </w:rPr>
        <w:t xml:space="preserve">the liquefaction behaviour for </w:t>
      </w:r>
      <w:r w:rsidR="006F1B42" w:rsidRPr="006F1B42">
        <w:rPr>
          <w:sz w:val="20"/>
        </w:rPr>
        <w:t xml:space="preserve">cohesive soils </w:t>
      </w:r>
      <w:r w:rsidR="003F2949">
        <w:rPr>
          <w:sz w:val="20"/>
        </w:rPr>
        <w:t>were discussed.</w:t>
      </w:r>
      <w:r w:rsidR="006F2CE9">
        <w:rPr>
          <w:sz w:val="20"/>
        </w:rPr>
        <w:t xml:space="preserve"> </w:t>
      </w:r>
      <w:r w:rsidR="003E1DF9">
        <w:rPr>
          <w:sz w:val="20"/>
        </w:rPr>
        <w:t>Cohesive soils with high clay</w:t>
      </w:r>
      <w:r w:rsidR="00544983">
        <w:rPr>
          <w:sz w:val="20"/>
        </w:rPr>
        <w:t xml:space="preserve"> amount do no</w:t>
      </w:r>
      <w:r w:rsidR="00EE2B7F">
        <w:rPr>
          <w:sz w:val="20"/>
        </w:rPr>
        <w:t>t</w:t>
      </w:r>
      <w:r w:rsidR="00544983">
        <w:rPr>
          <w:sz w:val="20"/>
        </w:rPr>
        <w:t xml:space="preserve"> let</w:t>
      </w:r>
      <w:r w:rsidR="00EE2B7F">
        <w:rPr>
          <w:sz w:val="20"/>
        </w:rPr>
        <w:t xml:space="preserve"> excessive pore water pressure, there</w:t>
      </w:r>
      <w:r w:rsidR="00CA5FA5">
        <w:rPr>
          <w:sz w:val="20"/>
        </w:rPr>
        <w:t>fore liquefaction is not occurred</w:t>
      </w:r>
      <w:r w:rsidR="00EE2B7F">
        <w:rPr>
          <w:sz w:val="20"/>
        </w:rPr>
        <w:t xml:space="preserve"> but settlement and softening can be seen with dynamic loading.</w:t>
      </w:r>
      <w:r w:rsidR="003E1DF9">
        <w:rPr>
          <w:sz w:val="20"/>
        </w:rPr>
        <w:t xml:space="preserve"> </w:t>
      </w:r>
    </w:p>
    <w:p w:rsidR="00A47C1A" w:rsidRPr="000C7419" w:rsidRDefault="00A47C1A" w:rsidP="00976433">
      <w:pPr>
        <w:ind w:firstLine="0"/>
        <w:contextualSpacing/>
        <w:rPr>
          <w:sz w:val="22"/>
          <w:szCs w:val="22"/>
        </w:rPr>
      </w:pPr>
    </w:p>
    <w:p w:rsidR="00374491" w:rsidRDefault="00374491" w:rsidP="00976433">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BE3CEA" w:rsidRPr="00BE3CEA">
        <w:rPr>
          <w:sz w:val="22"/>
          <w:szCs w:val="22"/>
        </w:rPr>
        <w:t>Liquefa</w:t>
      </w:r>
      <w:r w:rsidR="00BE3CEA">
        <w:rPr>
          <w:sz w:val="22"/>
          <w:szCs w:val="22"/>
        </w:rPr>
        <w:t>ction, shaking table test, cohesive soils, dynamic loading.</w:t>
      </w:r>
    </w:p>
    <w:p w:rsidR="00C23DFD" w:rsidRPr="007675D9" w:rsidRDefault="00C23DFD" w:rsidP="00976433">
      <w:pPr>
        <w:ind w:firstLine="0"/>
        <w:rPr>
          <w:sz w:val="22"/>
          <w:szCs w:val="22"/>
        </w:rPr>
      </w:pPr>
    </w:p>
    <w:p w:rsidR="00942EA6" w:rsidRPr="000C7419" w:rsidRDefault="00942EA6" w:rsidP="00976433">
      <w:pPr>
        <w:ind w:firstLine="0"/>
        <w:contextualSpacing/>
        <w:mirrorIndents/>
        <w:rPr>
          <w:sz w:val="22"/>
          <w:szCs w:val="22"/>
        </w:rPr>
      </w:pPr>
    </w:p>
    <w:p w:rsidR="00A47C1A" w:rsidRPr="00021A6C" w:rsidRDefault="00021A6C" w:rsidP="00976433">
      <w:pPr>
        <w:ind w:firstLine="0"/>
        <w:contextualSpacing/>
        <w:mirrorIndents/>
        <w:rPr>
          <w:rFonts w:ascii="Arial" w:hAnsi="Arial" w:cs="Arial"/>
          <w:b/>
        </w:rPr>
      </w:pPr>
      <w:bookmarkStart w:id="2" w:name="_Ref473037328"/>
      <w:r w:rsidRPr="00021A6C">
        <w:rPr>
          <w:rFonts w:ascii="Arial" w:hAnsi="Arial" w:cs="Arial"/>
          <w:b/>
        </w:rPr>
        <w:t xml:space="preserve">1. </w:t>
      </w:r>
      <w:r w:rsidR="00A47C1A" w:rsidRPr="00021A6C">
        <w:rPr>
          <w:rFonts w:ascii="Arial" w:hAnsi="Arial" w:cs="Arial"/>
          <w:b/>
        </w:rPr>
        <w:t>I</w:t>
      </w:r>
      <w:bookmarkEnd w:id="2"/>
      <w:r w:rsidRPr="00021A6C">
        <w:rPr>
          <w:rFonts w:ascii="Arial" w:hAnsi="Arial" w:cs="Arial"/>
          <w:b/>
        </w:rPr>
        <w:t>ntroduction</w:t>
      </w:r>
    </w:p>
    <w:p w:rsidR="008207A6" w:rsidRDefault="00036B63" w:rsidP="008207A6">
      <w:pPr>
        <w:ind w:firstLine="397"/>
        <w:contextualSpacing/>
        <w:mirrorIndents/>
        <w:rPr>
          <w:sz w:val="22"/>
          <w:szCs w:val="23"/>
        </w:rPr>
      </w:pPr>
      <w:r>
        <w:rPr>
          <w:sz w:val="22"/>
          <w:szCs w:val="23"/>
        </w:rPr>
        <w:t>Liquefaction is occurred</w:t>
      </w:r>
      <w:r w:rsidR="00F21E43" w:rsidRPr="00F21E43">
        <w:rPr>
          <w:sz w:val="22"/>
          <w:szCs w:val="23"/>
        </w:rPr>
        <w:t xml:space="preserve"> with the earthquakes</w:t>
      </w:r>
      <w:r>
        <w:rPr>
          <w:sz w:val="22"/>
          <w:szCs w:val="23"/>
        </w:rPr>
        <w:t xml:space="preserve"> and dynamic loading</w:t>
      </w:r>
      <w:r w:rsidR="00BE00E5">
        <w:rPr>
          <w:sz w:val="22"/>
          <w:szCs w:val="23"/>
        </w:rPr>
        <w:t>. Dynamic</w:t>
      </w:r>
      <w:r w:rsidR="00F21E43" w:rsidRPr="00F21E43">
        <w:rPr>
          <w:sz w:val="22"/>
          <w:szCs w:val="23"/>
        </w:rPr>
        <w:t xml:space="preserve"> load</w:t>
      </w:r>
      <w:r w:rsidR="00BE00E5">
        <w:rPr>
          <w:sz w:val="22"/>
          <w:szCs w:val="23"/>
        </w:rPr>
        <w:t>s</w:t>
      </w:r>
      <w:r w:rsidR="00F21E43" w:rsidRPr="00F21E43">
        <w:rPr>
          <w:sz w:val="22"/>
          <w:szCs w:val="23"/>
        </w:rPr>
        <w:t xml:space="preserve"> </w:t>
      </w:r>
      <w:r w:rsidR="00BE00E5" w:rsidRPr="00F21E43">
        <w:rPr>
          <w:sz w:val="22"/>
          <w:szCs w:val="23"/>
        </w:rPr>
        <w:t>cause</w:t>
      </w:r>
      <w:r w:rsidR="00F21E43" w:rsidRPr="00F21E43">
        <w:rPr>
          <w:sz w:val="22"/>
          <w:szCs w:val="23"/>
        </w:rPr>
        <w:t xml:space="preserve"> pore pressure </w:t>
      </w:r>
      <w:r w:rsidR="00BE00E5">
        <w:rPr>
          <w:sz w:val="22"/>
          <w:szCs w:val="23"/>
        </w:rPr>
        <w:t>development</w:t>
      </w:r>
      <w:r w:rsidR="00F21E43" w:rsidRPr="00F21E43">
        <w:rPr>
          <w:sz w:val="22"/>
          <w:szCs w:val="23"/>
        </w:rPr>
        <w:t xml:space="preserve"> and</w:t>
      </w:r>
      <w:r w:rsidR="00BE00E5">
        <w:rPr>
          <w:sz w:val="22"/>
          <w:szCs w:val="23"/>
        </w:rPr>
        <w:t xml:space="preserve"> effective stress decrease</w:t>
      </w:r>
      <w:r w:rsidR="00F21E43" w:rsidRPr="00F21E43">
        <w:rPr>
          <w:sz w:val="22"/>
          <w:szCs w:val="23"/>
        </w:rPr>
        <w:t xml:space="preserve">. Especially loose silty sand soils </w:t>
      </w:r>
      <w:r w:rsidR="00BF236E" w:rsidRPr="00F21E43">
        <w:rPr>
          <w:sz w:val="22"/>
          <w:szCs w:val="23"/>
        </w:rPr>
        <w:t>tend to</w:t>
      </w:r>
      <w:r w:rsidR="00F21E43" w:rsidRPr="00F21E43">
        <w:rPr>
          <w:sz w:val="22"/>
          <w:szCs w:val="23"/>
        </w:rPr>
        <w:t xml:space="preserve"> liquefaction and show </w:t>
      </w:r>
      <w:r w:rsidR="005C1763">
        <w:rPr>
          <w:sz w:val="22"/>
          <w:szCs w:val="23"/>
        </w:rPr>
        <w:t>l</w:t>
      </w:r>
      <w:r w:rsidR="00F21E43" w:rsidRPr="00F21E43">
        <w:rPr>
          <w:sz w:val="22"/>
          <w:szCs w:val="23"/>
        </w:rPr>
        <w:t>arge soil deformations</w:t>
      </w:r>
      <w:r w:rsidR="005C1763">
        <w:rPr>
          <w:sz w:val="22"/>
          <w:szCs w:val="23"/>
        </w:rPr>
        <w:t>.</w:t>
      </w:r>
      <w:r w:rsidR="00F21E43" w:rsidRPr="00F21E43">
        <w:rPr>
          <w:sz w:val="22"/>
          <w:szCs w:val="23"/>
        </w:rPr>
        <w:t xml:space="preserve"> </w:t>
      </w:r>
      <w:r w:rsidR="005C1763">
        <w:rPr>
          <w:sz w:val="22"/>
          <w:szCs w:val="23"/>
        </w:rPr>
        <w:t>S</w:t>
      </w:r>
      <w:r w:rsidR="00F21E43" w:rsidRPr="00F21E43">
        <w:rPr>
          <w:sz w:val="22"/>
          <w:szCs w:val="23"/>
        </w:rPr>
        <w:t xml:space="preserve">tructural damages can </w:t>
      </w:r>
      <w:r w:rsidR="005C1763">
        <w:rPr>
          <w:sz w:val="22"/>
          <w:szCs w:val="23"/>
        </w:rPr>
        <w:t>be seen</w:t>
      </w:r>
      <w:r w:rsidR="00A81D02">
        <w:rPr>
          <w:sz w:val="22"/>
          <w:szCs w:val="23"/>
        </w:rPr>
        <w:t xml:space="preserve"> by</w:t>
      </w:r>
      <w:r w:rsidR="00F21E43" w:rsidRPr="00F21E43">
        <w:rPr>
          <w:sz w:val="22"/>
          <w:szCs w:val="23"/>
        </w:rPr>
        <w:t xml:space="preserve"> liquefaction.</w:t>
      </w:r>
      <w:r w:rsidR="00F21E43">
        <w:rPr>
          <w:sz w:val="22"/>
          <w:szCs w:val="23"/>
        </w:rPr>
        <w:t xml:space="preserve"> </w:t>
      </w:r>
      <w:r w:rsidR="008207A6" w:rsidRPr="008207A6">
        <w:rPr>
          <w:sz w:val="22"/>
          <w:szCs w:val="23"/>
        </w:rPr>
        <w:t xml:space="preserve">Liquefaction is </w:t>
      </w:r>
      <w:r w:rsidR="00F712D7">
        <w:rPr>
          <w:sz w:val="22"/>
          <w:szCs w:val="23"/>
        </w:rPr>
        <w:t xml:space="preserve">a complex problem </w:t>
      </w:r>
      <w:r w:rsidR="008207A6" w:rsidRPr="008207A6">
        <w:rPr>
          <w:sz w:val="22"/>
          <w:szCs w:val="23"/>
        </w:rPr>
        <w:t xml:space="preserve">in geotechnical earthquake engineering. The excess pore pressure </w:t>
      </w:r>
      <w:r w:rsidR="0033294F">
        <w:rPr>
          <w:sz w:val="22"/>
          <w:szCs w:val="23"/>
        </w:rPr>
        <w:t>development is the first stage</w:t>
      </w:r>
      <w:r w:rsidR="008207A6" w:rsidRPr="008207A6">
        <w:rPr>
          <w:sz w:val="22"/>
          <w:szCs w:val="23"/>
        </w:rPr>
        <w:t xml:space="preserve"> of the liquefaction. If </w:t>
      </w:r>
      <w:r w:rsidR="0033294F">
        <w:rPr>
          <w:sz w:val="22"/>
          <w:szCs w:val="23"/>
        </w:rPr>
        <w:t>non-</w:t>
      </w:r>
      <w:r w:rsidR="008207A6" w:rsidRPr="008207A6">
        <w:rPr>
          <w:sz w:val="22"/>
          <w:szCs w:val="23"/>
        </w:rPr>
        <w:t>cohesi</w:t>
      </w:r>
      <w:r w:rsidR="0033294F">
        <w:rPr>
          <w:sz w:val="22"/>
          <w:szCs w:val="23"/>
        </w:rPr>
        <w:t>ve</w:t>
      </w:r>
      <w:r w:rsidR="008207A6" w:rsidRPr="008207A6">
        <w:rPr>
          <w:sz w:val="22"/>
          <w:szCs w:val="23"/>
        </w:rPr>
        <w:t xml:space="preserve"> soils are saturated and rapid loading occurs </w:t>
      </w:r>
      <w:r w:rsidR="00AF62BE">
        <w:rPr>
          <w:sz w:val="22"/>
          <w:szCs w:val="23"/>
        </w:rPr>
        <w:t>excess pore pressure exist</w:t>
      </w:r>
      <w:r w:rsidR="008207A6" w:rsidRPr="008207A6">
        <w:rPr>
          <w:sz w:val="22"/>
          <w:szCs w:val="23"/>
        </w:rPr>
        <w:t xml:space="preserve"> and effective stress </w:t>
      </w:r>
      <w:r w:rsidR="00AF62BE">
        <w:rPr>
          <w:sz w:val="22"/>
          <w:szCs w:val="23"/>
        </w:rPr>
        <w:t>will be zero</w:t>
      </w:r>
      <w:r w:rsidR="008207A6" w:rsidRPr="008207A6">
        <w:rPr>
          <w:sz w:val="22"/>
          <w:szCs w:val="23"/>
        </w:rPr>
        <w:t>.</w:t>
      </w:r>
      <w:r w:rsidR="008207A6">
        <w:rPr>
          <w:sz w:val="22"/>
          <w:szCs w:val="23"/>
        </w:rPr>
        <w:t xml:space="preserve"> </w:t>
      </w:r>
      <w:r w:rsidR="008207A6" w:rsidRPr="008207A6">
        <w:rPr>
          <w:sz w:val="22"/>
          <w:szCs w:val="23"/>
        </w:rPr>
        <w:t>Liquefaction is divided into two main groups: flow liqu</w:t>
      </w:r>
      <w:r w:rsidR="0063675E">
        <w:rPr>
          <w:sz w:val="22"/>
          <w:szCs w:val="23"/>
        </w:rPr>
        <w:t>efaction and cyclic mobility [1</w:t>
      </w:r>
      <w:r w:rsidR="008207A6" w:rsidRPr="008207A6">
        <w:rPr>
          <w:sz w:val="22"/>
          <w:szCs w:val="23"/>
        </w:rPr>
        <w:t>]. Cyclic mobility can occur under a large range of soil and site conditions than flow liquefaction. Flow liquefaction failures are characterized by the sudden nature of their origin but both flow liquefaction and cyclic mobility can produce damages.</w:t>
      </w:r>
      <w:r w:rsidR="00333B85" w:rsidRPr="00333B85">
        <w:rPr>
          <w:sz w:val="22"/>
          <w:szCs w:val="23"/>
        </w:rPr>
        <w:t xml:space="preserve"> </w:t>
      </w:r>
      <w:proofErr w:type="gramStart"/>
      <w:r w:rsidR="00333B85" w:rsidRPr="00EE233B">
        <w:rPr>
          <w:sz w:val="22"/>
          <w:szCs w:val="23"/>
        </w:rPr>
        <w:t>As a result of</w:t>
      </w:r>
      <w:proofErr w:type="gramEnd"/>
      <w:r w:rsidR="00333B85" w:rsidRPr="00EE233B">
        <w:rPr>
          <w:sz w:val="22"/>
          <w:szCs w:val="23"/>
        </w:rPr>
        <w:t xml:space="preserve"> the </w:t>
      </w:r>
      <w:r w:rsidR="00F84A0C">
        <w:rPr>
          <w:sz w:val="22"/>
          <w:szCs w:val="23"/>
        </w:rPr>
        <w:t>liquefaction, settlement or</w:t>
      </w:r>
      <w:r w:rsidR="00827AE8">
        <w:rPr>
          <w:sz w:val="22"/>
          <w:szCs w:val="23"/>
        </w:rPr>
        <w:t xml:space="preserve"> </w:t>
      </w:r>
      <w:r w:rsidR="00F84A0C" w:rsidRPr="00EE233B">
        <w:rPr>
          <w:sz w:val="22"/>
          <w:szCs w:val="23"/>
        </w:rPr>
        <w:t>overturn</w:t>
      </w:r>
      <w:r w:rsidR="00F84A0C">
        <w:rPr>
          <w:sz w:val="22"/>
          <w:szCs w:val="23"/>
        </w:rPr>
        <w:t>ing</w:t>
      </w:r>
      <w:r w:rsidR="00827AE8">
        <w:rPr>
          <w:sz w:val="22"/>
          <w:szCs w:val="23"/>
        </w:rPr>
        <w:t xml:space="preserve"> can be seen</w:t>
      </w:r>
      <w:r w:rsidR="00333B85" w:rsidRPr="00EE233B">
        <w:rPr>
          <w:sz w:val="22"/>
          <w:szCs w:val="23"/>
        </w:rPr>
        <w:t>. Figure 1 s</w:t>
      </w:r>
      <w:r w:rsidR="00827AE8">
        <w:rPr>
          <w:sz w:val="22"/>
          <w:szCs w:val="23"/>
        </w:rPr>
        <w:t>hows</w:t>
      </w:r>
      <w:r w:rsidR="00333B85" w:rsidRPr="00EE233B">
        <w:rPr>
          <w:sz w:val="22"/>
          <w:szCs w:val="23"/>
        </w:rPr>
        <w:t xml:space="preserve"> the damage caused by liquefaction in the 1999 </w:t>
      </w:r>
      <w:proofErr w:type="spellStart"/>
      <w:r w:rsidR="00333B85" w:rsidRPr="00EE233B">
        <w:rPr>
          <w:sz w:val="22"/>
          <w:szCs w:val="23"/>
        </w:rPr>
        <w:t>Kocaeli</w:t>
      </w:r>
      <w:proofErr w:type="spellEnd"/>
      <w:r w:rsidR="00333B85" w:rsidRPr="00EE233B">
        <w:rPr>
          <w:sz w:val="22"/>
          <w:szCs w:val="23"/>
        </w:rPr>
        <w:t xml:space="preserve"> earthquake</w:t>
      </w:r>
      <w:r w:rsidR="00333B85">
        <w:rPr>
          <w:sz w:val="22"/>
          <w:szCs w:val="23"/>
        </w:rPr>
        <w:t>.</w:t>
      </w:r>
    </w:p>
    <w:p w:rsidR="00333B85" w:rsidRDefault="00333B85" w:rsidP="008207A6">
      <w:pPr>
        <w:ind w:firstLine="397"/>
        <w:contextualSpacing/>
        <w:mirrorIndents/>
        <w:rPr>
          <w:sz w:val="22"/>
          <w:szCs w:val="23"/>
        </w:rPr>
      </w:pPr>
    </w:p>
    <w:p w:rsidR="00333B85" w:rsidRDefault="00333B85" w:rsidP="00333B85">
      <w:pPr>
        <w:pStyle w:val="WW-NormalWeb1"/>
        <w:spacing w:before="60" w:after="60"/>
        <w:jc w:val="center"/>
        <w:rPr>
          <w:sz w:val="18"/>
          <w:szCs w:val="18"/>
          <w:lang w:val="tr-TR"/>
        </w:rPr>
      </w:pPr>
      <w:r w:rsidRPr="00780CE9">
        <w:rPr>
          <w:noProof/>
          <w:sz w:val="18"/>
          <w:szCs w:val="18"/>
          <w:lang w:val="tr-TR" w:eastAsia="tr-TR"/>
        </w:rPr>
        <w:drawing>
          <wp:inline distT="0" distB="0" distL="0" distR="0" wp14:anchorId="5A100247" wp14:editId="33343922">
            <wp:extent cx="3873267" cy="2226365"/>
            <wp:effectExtent l="0" t="0" r="0" b="2540"/>
            <wp:docPr id="3"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pic:cNvPicPr>
                      <a:picLocks noChangeAspect="1"/>
                    </pic:cNvPicPr>
                  </pic:nvPicPr>
                  <pic:blipFill>
                    <a:blip r:embed="rId8"/>
                    <a:stretch>
                      <a:fillRect/>
                    </a:stretch>
                  </pic:blipFill>
                  <pic:spPr>
                    <a:xfrm>
                      <a:off x="0" y="0"/>
                      <a:ext cx="3884598" cy="2232878"/>
                    </a:xfrm>
                    <a:prstGeom prst="rect">
                      <a:avLst/>
                    </a:prstGeom>
                  </pic:spPr>
                </pic:pic>
              </a:graphicData>
            </a:graphic>
          </wp:inline>
        </w:drawing>
      </w:r>
    </w:p>
    <w:p w:rsidR="00333B85" w:rsidRPr="00900236" w:rsidRDefault="00333B85" w:rsidP="00333B85">
      <w:pPr>
        <w:ind w:firstLine="0"/>
        <w:contextualSpacing/>
        <w:mirrorIndents/>
        <w:jc w:val="center"/>
        <w:rPr>
          <w:sz w:val="20"/>
        </w:rPr>
      </w:pPr>
      <w:r>
        <w:rPr>
          <w:sz w:val="20"/>
        </w:rPr>
        <w:t>Fig.</w:t>
      </w:r>
      <w:r w:rsidRPr="00900236">
        <w:rPr>
          <w:sz w:val="20"/>
        </w:rPr>
        <w:t xml:space="preserve"> </w:t>
      </w:r>
      <w:r>
        <w:rPr>
          <w:sz w:val="20"/>
        </w:rPr>
        <w:t>1:</w:t>
      </w:r>
      <w:r w:rsidRPr="00900236">
        <w:rPr>
          <w:sz w:val="20"/>
        </w:rPr>
        <w:t xml:space="preserve"> </w:t>
      </w:r>
      <w:r w:rsidR="00827AE8">
        <w:rPr>
          <w:sz w:val="20"/>
        </w:rPr>
        <w:t>An example of liquefaction damage</w:t>
      </w:r>
      <w:r>
        <w:rPr>
          <w:sz w:val="20"/>
        </w:rPr>
        <w:t>.</w:t>
      </w:r>
    </w:p>
    <w:p w:rsidR="00333B85" w:rsidRPr="008207A6" w:rsidRDefault="00333B85" w:rsidP="008207A6">
      <w:pPr>
        <w:ind w:firstLine="397"/>
        <w:contextualSpacing/>
        <w:mirrorIndents/>
        <w:rPr>
          <w:sz w:val="22"/>
          <w:szCs w:val="23"/>
        </w:rPr>
      </w:pPr>
    </w:p>
    <w:p w:rsidR="00471CE3" w:rsidRDefault="008207A6" w:rsidP="008207A6">
      <w:pPr>
        <w:ind w:firstLine="397"/>
        <w:contextualSpacing/>
        <w:mirrorIndents/>
        <w:rPr>
          <w:sz w:val="22"/>
          <w:szCs w:val="23"/>
        </w:rPr>
      </w:pPr>
      <w:r w:rsidRPr="008207A6">
        <w:rPr>
          <w:sz w:val="22"/>
          <w:szCs w:val="23"/>
        </w:rPr>
        <w:lastRenderedPageBreak/>
        <w:t xml:space="preserve">Geotechnical earthquake engineers </w:t>
      </w:r>
      <w:r w:rsidR="00054FF6">
        <w:rPr>
          <w:sz w:val="22"/>
          <w:szCs w:val="23"/>
        </w:rPr>
        <w:t>must determine</w:t>
      </w:r>
      <w:r w:rsidRPr="008207A6">
        <w:rPr>
          <w:sz w:val="22"/>
          <w:szCs w:val="23"/>
        </w:rPr>
        <w:t xml:space="preserve"> </w:t>
      </w:r>
      <w:r w:rsidR="00232797">
        <w:rPr>
          <w:sz w:val="22"/>
          <w:szCs w:val="23"/>
        </w:rPr>
        <w:t xml:space="preserve">the </w:t>
      </w:r>
      <w:r w:rsidR="00232797" w:rsidRPr="008207A6">
        <w:rPr>
          <w:sz w:val="22"/>
          <w:szCs w:val="23"/>
        </w:rPr>
        <w:t>liquefactio</w:t>
      </w:r>
      <w:r w:rsidR="00232797">
        <w:rPr>
          <w:sz w:val="22"/>
          <w:szCs w:val="23"/>
        </w:rPr>
        <w:t xml:space="preserve">n </w:t>
      </w:r>
      <w:r w:rsidRPr="008207A6">
        <w:rPr>
          <w:sz w:val="22"/>
          <w:szCs w:val="23"/>
        </w:rPr>
        <w:t xml:space="preserve">potential </w:t>
      </w:r>
      <w:r w:rsidR="00054FF6">
        <w:rPr>
          <w:sz w:val="22"/>
          <w:szCs w:val="23"/>
        </w:rPr>
        <w:t>by investigating</w:t>
      </w:r>
      <w:r w:rsidRPr="008207A6">
        <w:rPr>
          <w:sz w:val="22"/>
          <w:szCs w:val="23"/>
        </w:rPr>
        <w:t xml:space="preserve"> soil susceptibility, size of the dynamic trigger and size of possible damage. </w:t>
      </w:r>
      <w:r w:rsidR="00D35A55">
        <w:rPr>
          <w:sz w:val="22"/>
          <w:szCs w:val="23"/>
        </w:rPr>
        <w:t>Liquefaction potential determination</w:t>
      </w:r>
      <w:r w:rsidRPr="008207A6">
        <w:rPr>
          <w:sz w:val="22"/>
          <w:szCs w:val="23"/>
        </w:rPr>
        <w:t xml:space="preserve"> include</w:t>
      </w:r>
      <w:r w:rsidR="00D35A55">
        <w:rPr>
          <w:sz w:val="22"/>
          <w:szCs w:val="23"/>
        </w:rPr>
        <w:t>s</w:t>
      </w:r>
      <w:r w:rsidRPr="008207A6">
        <w:rPr>
          <w:sz w:val="22"/>
          <w:szCs w:val="23"/>
        </w:rPr>
        <w:t xml:space="preserve"> historical, geologic</w:t>
      </w:r>
      <w:r w:rsidR="00F8509C">
        <w:rPr>
          <w:sz w:val="22"/>
          <w:szCs w:val="23"/>
        </w:rPr>
        <w:t xml:space="preserve"> and</w:t>
      </w:r>
      <w:r w:rsidRPr="008207A6">
        <w:rPr>
          <w:sz w:val="22"/>
          <w:szCs w:val="23"/>
        </w:rPr>
        <w:t xml:space="preserve"> compositional </w:t>
      </w:r>
      <w:r w:rsidR="00777904">
        <w:rPr>
          <w:sz w:val="22"/>
          <w:szCs w:val="23"/>
        </w:rPr>
        <w:t>investigation</w:t>
      </w:r>
      <w:r w:rsidR="007A667A">
        <w:rPr>
          <w:sz w:val="22"/>
          <w:szCs w:val="23"/>
        </w:rPr>
        <w:t xml:space="preserve"> [1</w:t>
      </w:r>
      <w:r w:rsidRPr="008207A6">
        <w:rPr>
          <w:sz w:val="22"/>
          <w:szCs w:val="23"/>
        </w:rPr>
        <w:t xml:space="preserve">]. Compositional </w:t>
      </w:r>
      <w:r w:rsidR="0056088B">
        <w:rPr>
          <w:sz w:val="22"/>
          <w:szCs w:val="23"/>
        </w:rPr>
        <w:t xml:space="preserve">properties </w:t>
      </w:r>
      <w:r w:rsidR="0035397B">
        <w:rPr>
          <w:sz w:val="22"/>
          <w:szCs w:val="23"/>
        </w:rPr>
        <w:t xml:space="preserve">associated with </w:t>
      </w:r>
      <w:r w:rsidRPr="008207A6">
        <w:rPr>
          <w:sz w:val="22"/>
          <w:szCs w:val="23"/>
        </w:rPr>
        <w:t xml:space="preserve">volume change potential, particle size, shape and gradation. Historical </w:t>
      </w:r>
      <w:r w:rsidR="004440C6">
        <w:rPr>
          <w:sz w:val="22"/>
          <w:szCs w:val="23"/>
        </w:rPr>
        <w:t>investigation</w:t>
      </w:r>
      <w:r w:rsidRPr="008207A6">
        <w:rPr>
          <w:sz w:val="22"/>
          <w:szCs w:val="23"/>
        </w:rPr>
        <w:t xml:space="preserve"> includes </w:t>
      </w:r>
      <w:r w:rsidR="004440C6">
        <w:rPr>
          <w:sz w:val="22"/>
          <w:szCs w:val="23"/>
        </w:rPr>
        <w:t>data base</w:t>
      </w:r>
      <w:r w:rsidR="002B7D6C">
        <w:rPr>
          <w:sz w:val="22"/>
          <w:szCs w:val="23"/>
        </w:rPr>
        <w:t xml:space="preserve"> research</w:t>
      </w:r>
      <w:r w:rsidRPr="008207A6">
        <w:rPr>
          <w:sz w:val="22"/>
          <w:szCs w:val="23"/>
        </w:rPr>
        <w:t xml:space="preserve"> about liquefaction occurrence from past earthquakes.</w:t>
      </w:r>
      <w:r>
        <w:rPr>
          <w:sz w:val="22"/>
          <w:szCs w:val="23"/>
        </w:rPr>
        <w:t xml:space="preserve"> </w:t>
      </w:r>
    </w:p>
    <w:p w:rsidR="00F21E43" w:rsidRPr="00471CE3" w:rsidRDefault="008207A6" w:rsidP="00471CE3">
      <w:pPr>
        <w:ind w:firstLine="397"/>
        <w:contextualSpacing/>
        <w:mirrorIndents/>
      </w:pPr>
      <w:r w:rsidRPr="008207A6">
        <w:rPr>
          <w:sz w:val="22"/>
          <w:szCs w:val="23"/>
        </w:rPr>
        <w:t>Liquefaction potential can be determined by different methods. First one is based on the results of laboratory tests and the second one is methods based on in situ tests</w:t>
      </w:r>
      <w:r w:rsidR="005C02D6">
        <w:rPr>
          <w:sz w:val="22"/>
          <w:szCs w:val="23"/>
        </w:rPr>
        <w:t>,</w:t>
      </w:r>
      <w:r w:rsidRPr="008207A6">
        <w:rPr>
          <w:sz w:val="22"/>
          <w:szCs w:val="23"/>
        </w:rPr>
        <w:t xml:space="preserve"> in </w:t>
      </w:r>
      <w:r w:rsidR="00281210" w:rsidRPr="008207A6">
        <w:rPr>
          <w:sz w:val="22"/>
          <w:szCs w:val="23"/>
        </w:rPr>
        <w:t>addition</w:t>
      </w:r>
      <w:r w:rsidRPr="008207A6">
        <w:rPr>
          <w:sz w:val="22"/>
          <w:szCs w:val="23"/>
        </w:rPr>
        <w:t xml:space="preserve"> model tests can be used.</w:t>
      </w:r>
      <w:r w:rsidR="0045667B">
        <w:rPr>
          <w:sz w:val="22"/>
          <w:szCs w:val="23"/>
        </w:rPr>
        <w:t xml:space="preserve"> </w:t>
      </w:r>
      <w:r w:rsidRPr="008207A6">
        <w:rPr>
          <w:sz w:val="22"/>
          <w:szCs w:val="23"/>
        </w:rPr>
        <w:t>Soil properties can be measured in large soil volumes b</w:t>
      </w:r>
      <w:r w:rsidR="004F1E83">
        <w:rPr>
          <w:sz w:val="22"/>
          <w:szCs w:val="23"/>
        </w:rPr>
        <w:t>y field tests. Although</w:t>
      </w:r>
      <w:r w:rsidRPr="008207A6">
        <w:rPr>
          <w:sz w:val="22"/>
          <w:szCs w:val="23"/>
        </w:rPr>
        <w:t xml:space="preserve">, laboratory experiments </w:t>
      </w:r>
      <w:r w:rsidR="004F1E83">
        <w:rPr>
          <w:sz w:val="22"/>
          <w:szCs w:val="23"/>
        </w:rPr>
        <w:t>need</w:t>
      </w:r>
      <w:r w:rsidRPr="008207A6">
        <w:rPr>
          <w:sz w:val="22"/>
          <w:szCs w:val="23"/>
        </w:rPr>
        <w:t xml:space="preserve"> less time and economy. Field tests classified as two main groups such as low deformation and large deformation tests. Low defo</w:t>
      </w:r>
      <w:r w:rsidR="009D41FC">
        <w:rPr>
          <w:sz w:val="22"/>
          <w:szCs w:val="23"/>
        </w:rPr>
        <w:t>rmation field tests are</w:t>
      </w:r>
      <w:r w:rsidRPr="008207A6">
        <w:rPr>
          <w:sz w:val="22"/>
          <w:szCs w:val="23"/>
        </w:rPr>
        <w:t xml:space="preserve"> seismic reflection, </w:t>
      </w:r>
      <w:proofErr w:type="spellStart"/>
      <w:r w:rsidRPr="008207A6">
        <w:rPr>
          <w:sz w:val="22"/>
          <w:szCs w:val="23"/>
        </w:rPr>
        <w:t>crosshole</w:t>
      </w:r>
      <w:proofErr w:type="spellEnd"/>
      <w:r w:rsidRPr="008207A6">
        <w:rPr>
          <w:sz w:val="22"/>
          <w:szCs w:val="23"/>
        </w:rPr>
        <w:t xml:space="preserve">, downhole, seismic dilatometer etc and large deformation field tests are SPT and CPT. </w:t>
      </w:r>
      <w:r w:rsidR="009D41FC">
        <w:rPr>
          <w:sz w:val="22"/>
          <w:szCs w:val="23"/>
        </w:rPr>
        <w:t>L</w:t>
      </w:r>
      <w:r w:rsidR="009D41FC" w:rsidRPr="008207A6">
        <w:rPr>
          <w:sz w:val="22"/>
          <w:szCs w:val="23"/>
        </w:rPr>
        <w:t>ow deformation laboratory test are</w:t>
      </w:r>
      <w:r w:rsidRPr="008207A6">
        <w:rPr>
          <w:sz w:val="22"/>
          <w:szCs w:val="23"/>
        </w:rPr>
        <w:t xml:space="preserve"> resonant column, ultrasonic pulse and bender element</w:t>
      </w:r>
      <w:r w:rsidR="00113493">
        <w:rPr>
          <w:sz w:val="22"/>
          <w:szCs w:val="23"/>
        </w:rPr>
        <w:t>,</w:t>
      </w:r>
      <w:r w:rsidRPr="008207A6">
        <w:rPr>
          <w:sz w:val="22"/>
          <w:szCs w:val="23"/>
        </w:rPr>
        <w:t xml:space="preserve"> </w:t>
      </w:r>
      <w:r w:rsidR="00113493" w:rsidRPr="008207A6">
        <w:rPr>
          <w:sz w:val="22"/>
          <w:szCs w:val="23"/>
        </w:rPr>
        <w:t xml:space="preserve">large deformation laboratory tests are </w:t>
      </w:r>
      <w:r w:rsidRPr="008207A6">
        <w:rPr>
          <w:sz w:val="22"/>
          <w:szCs w:val="23"/>
        </w:rPr>
        <w:t>dynamic triaxial, dynamic shear and torsional shear. Modelling tests are known as sh</w:t>
      </w:r>
      <w:r w:rsidR="006B45E5">
        <w:rPr>
          <w:sz w:val="22"/>
          <w:szCs w:val="23"/>
        </w:rPr>
        <w:t xml:space="preserve">aking table and centrifuge test. </w:t>
      </w:r>
    </w:p>
    <w:p w:rsidR="00010608" w:rsidRDefault="00010608" w:rsidP="00F21E43">
      <w:pPr>
        <w:ind w:firstLine="397"/>
        <w:contextualSpacing/>
        <w:mirrorIndents/>
        <w:rPr>
          <w:sz w:val="22"/>
          <w:szCs w:val="23"/>
        </w:rPr>
      </w:pPr>
      <w:r w:rsidRPr="00010608">
        <w:rPr>
          <w:sz w:val="22"/>
          <w:szCs w:val="23"/>
        </w:rPr>
        <w:t xml:space="preserve">Liquefaction potential of the soils </w:t>
      </w:r>
      <w:r w:rsidR="00981AC2" w:rsidRPr="00010608">
        <w:rPr>
          <w:sz w:val="22"/>
          <w:szCs w:val="23"/>
        </w:rPr>
        <w:t>must</w:t>
      </w:r>
      <w:r w:rsidRPr="00010608">
        <w:rPr>
          <w:sz w:val="22"/>
          <w:szCs w:val="23"/>
        </w:rPr>
        <w:t xml:space="preserve"> be determined to take precautions. First research about liquefaction was </w:t>
      </w:r>
      <w:r w:rsidR="00EA202D">
        <w:rPr>
          <w:sz w:val="22"/>
          <w:szCs w:val="23"/>
        </w:rPr>
        <w:t>performed by Casagrande at 1930s. But</w:t>
      </w:r>
      <w:r w:rsidR="00E432BA">
        <w:rPr>
          <w:sz w:val="22"/>
          <w:szCs w:val="23"/>
        </w:rPr>
        <w:t>, liquefaction studies were</w:t>
      </w:r>
      <w:r w:rsidRPr="00010608">
        <w:rPr>
          <w:sz w:val="22"/>
          <w:szCs w:val="23"/>
        </w:rPr>
        <w:t xml:space="preserve"> gained popularity with researches of Seed, </w:t>
      </w:r>
      <w:proofErr w:type="spellStart"/>
      <w:r w:rsidRPr="00010608">
        <w:rPr>
          <w:sz w:val="22"/>
          <w:szCs w:val="23"/>
        </w:rPr>
        <w:t>Idriss</w:t>
      </w:r>
      <w:proofErr w:type="spellEnd"/>
      <w:r w:rsidRPr="00010608">
        <w:rPr>
          <w:sz w:val="22"/>
          <w:szCs w:val="23"/>
        </w:rPr>
        <w:t xml:space="preserve"> and Ishihara at 1970s. </w:t>
      </w:r>
      <w:proofErr w:type="spellStart"/>
      <w:r w:rsidRPr="00010608">
        <w:rPr>
          <w:sz w:val="22"/>
          <w:szCs w:val="23"/>
        </w:rPr>
        <w:t>Gratchev</w:t>
      </w:r>
      <w:proofErr w:type="spellEnd"/>
      <w:r w:rsidRPr="00010608">
        <w:rPr>
          <w:sz w:val="22"/>
          <w:szCs w:val="23"/>
        </w:rPr>
        <w:t xml:space="preserve"> et al. [</w:t>
      </w:r>
      <w:r w:rsidR="00B53063">
        <w:rPr>
          <w:sz w:val="22"/>
          <w:szCs w:val="23"/>
        </w:rPr>
        <w:t>2</w:t>
      </w:r>
      <w:r w:rsidRPr="00010608">
        <w:rPr>
          <w:sz w:val="22"/>
          <w:szCs w:val="23"/>
        </w:rPr>
        <w:t xml:space="preserve">] </w:t>
      </w:r>
      <w:r w:rsidR="00C171C7" w:rsidRPr="00010608">
        <w:rPr>
          <w:sz w:val="22"/>
          <w:szCs w:val="23"/>
        </w:rPr>
        <w:t xml:space="preserve">investigated </w:t>
      </w:r>
      <w:r w:rsidRPr="00010608">
        <w:rPr>
          <w:sz w:val="22"/>
          <w:szCs w:val="23"/>
        </w:rPr>
        <w:t xml:space="preserve">the soil micro structure and liquefaction potential. </w:t>
      </w:r>
      <w:proofErr w:type="spellStart"/>
      <w:r w:rsidRPr="00010608">
        <w:rPr>
          <w:sz w:val="22"/>
          <w:szCs w:val="23"/>
        </w:rPr>
        <w:t>Elgemal</w:t>
      </w:r>
      <w:proofErr w:type="spellEnd"/>
      <w:r w:rsidRPr="00010608">
        <w:rPr>
          <w:sz w:val="22"/>
          <w:szCs w:val="23"/>
        </w:rPr>
        <w:t xml:space="preserve"> et al</w:t>
      </w:r>
      <w:r w:rsidR="00C171C7">
        <w:rPr>
          <w:sz w:val="22"/>
          <w:szCs w:val="23"/>
        </w:rPr>
        <w:t>.</w:t>
      </w:r>
      <w:r w:rsidR="00C171C7" w:rsidRPr="00C171C7">
        <w:rPr>
          <w:sz w:val="22"/>
          <w:szCs w:val="23"/>
        </w:rPr>
        <w:t xml:space="preserve"> </w:t>
      </w:r>
      <w:r w:rsidR="00C171C7" w:rsidRPr="00010608">
        <w:rPr>
          <w:sz w:val="22"/>
          <w:szCs w:val="23"/>
        </w:rPr>
        <w:t>[</w:t>
      </w:r>
      <w:r w:rsidR="00C171C7">
        <w:rPr>
          <w:sz w:val="22"/>
          <w:szCs w:val="23"/>
        </w:rPr>
        <w:t>3</w:t>
      </w:r>
      <w:r w:rsidR="00C171C7" w:rsidRPr="00010608">
        <w:rPr>
          <w:sz w:val="22"/>
          <w:szCs w:val="23"/>
        </w:rPr>
        <w:t xml:space="preserve">] </w:t>
      </w:r>
      <w:r w:rsidR="006440A4">
        <w:rPr>
          <w:sz w:val="22"/>
          <w:szCs w:val="23"/>
        </w:rPr>
        <w:t>estimated</w:t>
      </w:r>
      <w:r w:rsidRPr="00010608">
        <w:rPr>
          <w:sz w:val="22"/>
          <w:szCs w:val="23"/>
        </w:rPr>
        <w:t xml:space="preserve"> the liquefaction potential by using numerical analysis. Yang and </w:t>
      </w:r>
      <w:proofErr w:type="spellStart"/>
      <w:r w:rsidRPr="00010608">
        <w:rPr>
          <w:sz w:val="22"/>
          <w:szCs w:val="23"/>
        </w:rPr>
        <w:t>Elgamal</w:t>
      </w:r>
      <w:proofErr w:type="spellEnd"/>
      <w:r w:rsidRPr="00010608">
        <w:rPr>
          <w:sz w:val="22"/>
          <w:szCs w:val="23"/>
        </w:rPr>
        <w:t xml:space="preserve"> [</w:t>
      </w:r>
      <w:r w:rsidR="00B53063">
        <w:rPr>
          <w:sz w:val="22"/>
          <w:szCs w:val="23"/>
        </w:rPr>
        <w:t>4</w:t>
      </w:r>
      <w:r w:rsidRPr="00010608">
        <w:rPr>
          <w:sz w:val="22"/>
          <w:szCs w:val="23"/>
        </w:rPr>
        <w:t>] s</w:t>
      </w:r>
      <w:r w:rsidR="006440A4">
        <w:rPr>
          <w:sz w:val="22"/>
          <w:szCs w:val="23"/>
        </w:rPr>
        <w:t>tudied on</w:t>
      </w:r>
      <w:r w:rsidRPr="00010608">
        <w:rPr>
          <w:sz w:val="22"/>
          <w:szCs w:val="23"/>
        </w:rPr>
        <w:t xml:space="preserve"> a correlation between the soil permeability and liquefaction potential. Hwang et al. [</w:t>
      </w:r>
      <w:r w:rsidR="00B53063">
        <w:rPr>
          <w:sz w:val="22"/>
          <w:szCs w:val="23"/>
        </w:rPr>
        <w:t>5</w:t>
      </w:r>
      <w:r w:rsidRPr="00010608">
        <w:rPr>
          <w:sz w:val="22"/>
          <w:szCs w:val="23"/>
        </w:rPr>
        <w:t xml:space="preserve">] </w:t>
      </w:r>
      <w:r w:rsidR="00E97E0B">
        <w:rPr>
          <w:sz w:val="22"/>
          <w:szCs w:val="23"/>
        </w:rPr>
        <w:t>investigated</w:t>
      </w:r>
      <w:r w:rsidRPr="00010608">
        <w:rPr>
          <w:sz w:val="22"/>
          <w:szCs w:val="23"/>
        </w:rPr>
        <w:t xml:space="preserve"> the loess</w:t>
      </w:r>
      <w:r w:rsidR="00E97E0B">
        <w:rPr>
          <w:sz w:val="22"/>
          <w:szCs w:val="23"/>
        </w:rPr>
        <w:t xml:space="preserve"> </w:t>
      </w:r>
      <w:r w:rsidRPr="00010608">
        <w:rPr>
          <w:sz w:val="22"/>
          <w:szCs w:val="23"/>
        </w:rPr>
        <w:t>tendency to liquefaction. Bird et al. [</w:t>
      </w:r>
      <w:r w:rsidR="00B53063">
        <w:rPr>
          <w:sz w:val="22"/>
          <w:szCs w:val="23"/>
        </w:rPr>
        <w:t>6</w:t>
      </w:r>
      <w:r w:rsidRPr="00010608">
        <w:rPr>
          <w:sz w:val="22"/>
          <w:szCs w:val="23"/>
        </w:rPr>
        <w:t>] developed a numerical methodology about liquefaction potential and damage risks. Kevin et al. [</w:t>
      </w:r>
      <w:r w:rsidR="00B53063">
        <w:rPr>
          <w:sz w:val="22"/>
          <w:szCs w:val="23"/>
        </w:rPr>
        <w:t>7</w:t>
      </w:r>
      <w:r w:rsidRPr="00010608">
        <w:rPr>
          <w:sz w:val="22"/>
          <w:szCs w:val="23"/>
        </w:rPr>
        <w:t xml:space="preserve">] </w:t>
      </w:r>
      <w:r w:rsidR="00453FCE">
        <w:rPr>
          <w:sz w:val="22"/>
          <w:szCs w:val="23"/>
        </w:rPr>
        <w:t>found out</w:t>
      </w:r>
      <w:r w:rsidRPr="00010608">
        <w:rPr>
          <w:sz w:val="22"/>
          <w:szCs w:val="23"/>
        </w:rPr>
        <w:t xml:space="preserve"> a prediction</w:t>
      </w:r>
      <w:r w:rsidR="00453FCE">
        <w:rPr>
          <w:sz w:val="22"/>
          <w:szCs w:val="23"/>
        </w:rPr>
        <w:t xml:space="preserve"> methodology </w:t>
      </w:r>
      <w:r w:rsidRPr="00010608">
        <w:rPr>
          <w:sz w:val="22"/>
          <w:szCs w:val="23"/>
        </w:rPr>
        <w:t xml:space="preserve">by using statistical data and 3D analysis on the liquefaction potential. Yuan and </w:t>
      </w:r>
      <w:proofErr w:type="spellStart"/>
      <w:r w:rsidRPr="00010608">
        <w:rPr>
          <w:sz w:val="22"/>
          <w:szCs w:val="23"/>
        </w:rPr>
        <w:t>Tadunbu</w:t>
      </w:r>
      <w:proofErr w:type="spellEnd"/>
      <w:r w:rsidRPr="00010608">
        <w:rPr>
          <w:sz w:val="22"/>
          <w:szCs w:val="23"/>
        </w:rPr>
        <w:t xml:space="preserve"> [</w:t>
      </w:r>
      <w:r w:rsidR="00B53063">
        <w:rPr>
          <w:sz w:val="22"/>
          <w:szCs w:val="23"/>
        </w:rPr>
        <w:t>8</w:t>
      </w:r>
      <w:r w:rsidRPr="00010608">
        <w:rPr>
          <w:sz w:val="22"/>
          <w:szCs w:val="23"/>
        </w:rPr>
        <w:t xml:space="preserve">] derived </w:t>
      </w:r>
      <w:r w:rsidR="001719FE">
        <w:rPr>
          <w:sz w:val="22"/>
          <w:szCs w:val="23"/>
        </w:rPr>
        <w:t xml:space="preserve">a </w:t>
      </w:r>
      <w:r w:rsidRPr="00010608">
        <w:rPr>
          <w:sz w:val="22"/>
          <w:szCs w:val="23"/>
        </w:rPr>
        <w:t>new formula for the deformations induced liquefaction</w:t>
      </w:r>
      <w:r w:rsidR="001719FE">
        <w:rPr>
          <w:sz w:val="22"/>
          <w:szCs w:val="23"/>
        </w:rPr>
        <w:t xml:space="preserve"> </w:t>
      </w:r>
      <w:r w:rsidR="001719FE" w:rsidRPr="00010608">
        <w:rPr>
          <w:sz w:val="22"/>
          <w:szCs w:val="23"/>
        </w:rPr>
        <w:t>b</w:t>
      </w:r>
      <w:r w:rsidR="001719FE">
        <w:rPr>
          <w:sz w:val="22"/>
          <w:szCs w:val="23"/>
        </w:rPr>
        <w:t>y using numerical methods</w:t>
      </w:r>
      <w:r w:rsidRPr="00010608">
        <w:rPr>
          <w:sz w:val="22"/>
          <w:szCs w:val="23"/>
        </w:rPr>
        <w:t xml:space="preserve">. Ishihara and </w:t>
      </w:r>
      <w:proofErr w:type="spellStart"/>
      <w:r w:rsidRPr="00010608">
        <w:rPr>
          <w:sz w:val="22"/>
          <w:szCs w:val="23"/>
        </w:rPr>
        <w:t>Cubrinovski</w:t>
      </w:r>
      <w:proofErr w:type="spellEnd"/>
      <w:r w:rsidRPr="00010608">
        <w:rPr>
          <w:sz w:val="22"/>
          <w:szCs w:val="23"/>
        </w:rPr>
        <w:t xml:space="preserve"> [</w:t>
      </w:r>
      <w:r w:rsidR="00B53063">
        <w:rPr>
          <w:sz w:val="22"/>
          <w:szCs w:val="23"/>
        </w:rPr>
        <w:t>9</w:t>
      </w:r>
      <w:r w:rsidRPr="00010608">
        <w:rPr>
          <w:sz w:val="22"/>
          <w:szCs w:val="23"/>
        </w:rPr>
        <w:t xml:space="preserve">] </w:t>
      </w:r>
      <w:r w:rsidR="008667EA">
        <w:rPr>
          <w:sz w:val="22"/>
          <w:szCs w:val="23"/>
        </w:rPr>
        <w:t>showed</w:t>
      </w:r>
      <w:r w:rsidRPr="00010608">
        <w:rPr>
          <w:sz w:val="22"/>
          <w:szCs w:val="23"/>
        </w:rPr>
        <w:t xml:space="preserve"> the liquefaction phenomena after 1995 Kobe earthquake and soil density and compaction </w:t>
      </w:r>
      <w:r w:rsidR="009A0797">
        <w:rPr>
          <w:sz w:val="22"/>
          <w:szCs w:val="23"/>
        </w:rPr>
        <w:t>is found as key factor</w:t>
      </w:r>
      <w:r w:rsidR="00D52F62">
        <w:rPr>
          <w:sz w:val="22"/>
          <w:szCs w:val="23"/>
        </w:rPr>
        <w:t xml:space="preserve"> on the liquefaction</w:t>
      </w:r>
      <w:r w:rsidRPr="00010608">
        <w:rPr>
          <w:sz w:val="22"/>
          <w:szCs w:val="23"/>
        </w:rPr>
        <w:t xml:space="preserve">. </w:t>
      </w:r>
      <w:proofErr w:type="spellStart"/>
      <w:r w:rsidRPr="00010608">
        <w:rPr>
          <w:sz w:val="22"/>
          <w:szCs w:val="23"/>
        </w:rPr>
        <w:t>Thevanayagam</w:t>
      </w:r>
      <w:proofErr w:type="spellEnd"/>
      <w:r w:rsidRPr="00010608">
        <w:rPr>
          <w:sz w:val="22"/>
          <w:szCs w:val="23"/>
        </w:rPr>
        <w:t xml:space="preserve"> and Martin [</w:t>
      </w:r>
      <w:r w:rsidR="00B53063">
        <w:rPr>
          <w:sz w:val="22"/>
          <w:szCs w:val="23"/>
        </w:rPr>
        <w:t>10</w:t>
      </w:r>
      <w:r w:rsidRPr="00010608">
        <w:rPr>
          <w:sz w:val="22"/>
          <w:szCs w:val="23"/>
        </w:rPr>
        <w:t xml:space="preserve">] </w:t>
      </w:r>
      <w:r w:rsidR="00C9050C">
        <w:rPr>
          <w:sz w:val="22"/>
          <w:szCs w:val="23"/>
        </w:rPr>
        <w:t>investigated</w:t>
      </w:r>
      <w:r w:rsidRPr="00010608">
        <w:rPr>
          <w:sz w:val="22"/>
          <w:szCs w:val="23"/>
        </w:rPr>
        <w:t xml:space="preserve"> the soil improvement methods against liquefaction and compaction methods</w:t>
      </w:r>
      <w:r w:rsidR="00C9050C">
        <w:rPr>
          <w:sz w:val="22"/>
          <w:szCs w:val="23"/>
        </w:rPr>
        <w:t xml:space="preserve"> were suggested at the end of the study</w:t>
      </w:r>
      <w:r w:rsidRPr="00010608">
        <w:rPr>
          <w:sz w:val="22"/>
          <w:szCs w:val="23"/>
        </w:rPr>
        <w:t>. Yang and Sato [1</w:t>
      </w:r>
      <w:r w:rsidR="00B53063">
        <w:rPr>
          <w:sz w:val="22"/>
          <w:szCs w:val="23"/>
        </w:rPr>
        <w:t>1</w:t>
      </w:r>
      <w:r w:rsidRPr="00010608">
        <w:rPr>
          <w:sz w:val="22"/>
          <w:szCs w:val="23"/>
        </w:rPr>
        <w:t xml:space="preserve">] </w:t>
      </w:r>
      <w:r w:rsidR="00EC15D7">
        <w:rPr>
          <w:sz w:val="22"/>
          <w:szCs w:val="23"/>
        </w:rPr>
        <w:t>showed</w:t>
      </w:r>
      <w:r w:rsidRPr="00010608">
        <w:rPr>
          <w:sz w:val="22"/>
          <w:szCs w:val="23"/>
        </w:rPr>
        <w:t xml:space="preserve"> </w:t>
      </w:r>
      <w:r w:rsidR="00EC15D7">
        <w:rPr>
          <w:sz w:val="22"/>
          <w:szCs w:val="23"/>
        </w:rPr>
        <w:t>a</w:t>
      </w:r>
      <w:r w:rsidRPr="00010608">
        <w:rPr>
          <w:sz w:val="22"/>
          <w:szCs w:val="23"/>
        </w:rPr>
        <w:t xml:space="preserve"> relationship between liquefaction and earthquake movement in vertical and horizontal dir</w:t>
      </w:r>
      <w:r w:rsidR="00B53063">
        <w:rPr>
          <w:sz w:val="22"/>
          <w:szCs w:val="23"/>
        </w:rPr>
        <w:t xml:space="preserve">ections. </w:t>
      </w:r>
      <w:proofErr w:type="spellStart"/>
      <w:r w:rsidR="00B53063">
        <w:rPr>
          <w:sz w:val="22"/>
          <w:szCs w:val="23"/>
        </w:rPr>
        <w:t>Adalier</w:t>
      </w:r>
      <w:proofErr w:type="spellEnd"/>
      <w:r w:rsidR="00B53063">
        <w:rPr>
          <w:sz w:val="22"/>
          <w:szCs w:val="23"/>
        </w:rPr>
        <w:t xml:space="preserve"> and </w:t>
      </w:r>
      <w:proofErr w:type="spellStart"/>
      <w:r w:rsidR="00B53063">
        <w:rPr>
          <w:sz w:val="22"/>
          <w:szCs w:val="23"/>
        </w:rPr>
        <w:t>Elgamal</w:t>
      </w:r>
      <w:proofErr w:type="spellEnd"/>
      <w:r w:rsidR="00B53063">
        <w:rPr>
          <w:sz w:val="22"/>
          <w:szCs w:val="23"/>
        </w:rPr>
        <w:t xml:space="preserve"> [12</w:t>
      </w:r>
      <w:r w:rsidRPr="00010608">
        <w:rPr>
          <w:sz w:val="22"/>
          <w:szCs w:val="23"/>
        </w:rPr>
        <w:t xml:space="preserve">] </w:t>
      </w:r>
      <w:r w:rsidR="00EC15D7">
        <w:rPr>
          <w:sz w:val="22"/>
          <w:szCs w:val="23"/>
        </w:rPr>
        <w:t>studied</w:t>
      </w:r>
      <w:r w:rsidRPr="00010608">
        <w:rPr>
          <w:sz w:val="22"/>
          <w:szCs w:val="23"/>
        </w:rPr>
        <w:t xml:space="preserve"> stone column method </w:t>
      </w:r>
      <w:r w:rsidR="00EC15D7">
        <w:rPr>
          <w:sz w:val="22"/>
          <w:szCs w:val="23"/>
        </w:rPr>
        <w:t xml:space="preserve">on </w:t>
      </w:r>
      <w:r w:rsidR="00EC15D7" w:rsidRPr="00010608">
        <w:rPr>
          <w:sz w:val="22"/>
          <w:szCs w:val="23"/>
        </w:rPr>
        <w:t xml:space="preserve">liquefaction potential </w:t>
      </w:r>
      <w:r w:rsidR="00EC15D7">
        <w:rPr>
          <w:sz w:val="22"/>
          <w:szCs w:val="23"/>
        </w:rPr>
        <w:t xml:space="preserve">and </w:t>
      </w:r>
      <w:r w:rsidRPr="00010608">
        <w:rPr>
          <w:sz w:val="22"/>
          <w:szCs w:val="23"/>
        </w:rPr>
        <w:t xml:space="preserve">positive results </w:t>
      </w:r>
      <w:r w:rsidR="00EC15D7">
        <w:rPr>
          <w:sz w:val="22"/>
          <w:szCs w:val="23"/>
        </w:rPr>
        <w:t>were found</w:t>
      </w:r>
      <w:r w:rsidR="00B53063">
        <w:rPr>
          <w:sz w:val="22"/>
          <w:szCs w:val="23"/>
        </w:rPr>
        <w:t>. Chang [13</w:t>
      </w:r>
      <w:r w:rsidRPr="00010608">
        <w:rPr>
          <w:sz w:val="22"/>
          <w:szCs w:val="23"/>
        </w:rPr>
        <w:t xml:space="preserve">] developed a new field test to </w:t>
      </w:r>
      <w:r w:rsidR="006A531F">
        <w:rPr>
          <w:sz w:val="22"/>
          <w:szCs w:val="23"/>
        </w:rPr>
        <w:t>estimate</w:t>
      </w:r>
      <w:r w:rsidRPr="00010608">
        <w:rPr>
          <w:sz w:val="22"/>
          <w:szCs w:val="23"/>
        </w:rPr>
        <w:t xml:space="preserve"> liquefaction by measuring pore pressure </w:t>
      </w:r>
      <w:r w:rsidR="00B53063">
        <w:rPr>
          <w:sz w:val="22"/>
          <w:szCs w:val="23"/>
        </w:rPr>
        <w:t xml:space="preserve">and vibration. </w:t>
      </w:r>
      <w:proofErr w:type="spellStart"/>
      <w:r w:rsidR="00B53063">
        <w:rPr>
          <w:sz w:val="22"/>
          <w:szCs w:val="23"/>
        </w:rPr>
        <w:t>Yunmin</w:t>
      </w:r>
      <w:proofErr w:type="spellEnd"/>
      <w:r w:rsidR="00B53063">
        <w:rPr>
          <w:sz w:val="22"/>
          <w:szCs w:val="23"/>
        </w:rPr>
        <w:t xml:space="preserve"> et al. [14</w:t>
      </w:r>
      <w:r w:rsidRPr="00010608">
        <w:rPr>
          <w:sz w:val="22"/>
          <w:szCs w:val="23"/>
        </w:rPr>
        <w:t xml:space="preserve">] </w:t>
      </w:r>
      <w:r w:rsidR="00C546CB">
        <w:rPr>
          <w:sz w:val="22"/>
          <w:szCs w:val="23"/>
        </w:rPr>
        <w:t>studied</w:t>
      </w:r>
      <w:r w:rsidRPr="00010608">
        <w:rPr>
          <w:sz w:val="22"/>
          <w:szCs w:val="23"/>
        </w:rPr>
        <w:t xml:space="preserve"> the correlation between the shear wave velocity and liquefaction by using dynamic triaxial test. </w:t>
      </w:r>
    </w:p>
    <w:p w:rsidR="00674967" w:rsidRPr="00010608" w:rsidRDefault="006C74D0" w:rsidP="00674967">
      <w:pPr>
        <w:ind w:firstLine="397"/>
        <w:contextualSpacing/>
        <w:mirrorIndents/>
        <w:rPr>
          <w:sz w:val="22"/>
          <w:szCs w:val="23"/>
        </w:rPr>
      </w:pPr>
      <w:r w:rsidRPr="006C74D0">
        <w:rPr>
          <w:sz w:val="22"/>
          <w:szCs w:val="23"/>
        </w:rPr>
        <w:t xml:space="preserve">A good knowledge of the soil properties is necessary for the prediction of the liquefaction potential. However, it is thought that the liquefaction is limited with only sandy soils, recent studies have found susceptibility to liquefaction in silts, clays and gravels. Studies on the liquefaction criteria for cohesive soils have been continued. </w:t>
      </w:r>
      <w:r w:rsidR="00674967" w:rsidRPr="00674967">
        <w:rPr>
          <w:sz w:val="22"/>
          <w:szCs w:val="23"/>
        </w:rPr>
        <w:t xml:space="preserve">Non-plastic silts were observed to liquefy during the tests and it was determined that the plasticity affected the liquefaction </w:t>
      </w:r>
      <w:r w:rsidR="00412097" w:rsidRPr="00674967">
        <w:rPr>
          <w:sz w:val="22"/>
          <w:szCs w:val="23"/>
        </w:rPr>
        <w:t>behaviour</w:t>
      </w:r>
      <w:r w:rsidR="00674967" w:rsidRPr="00674967">
        <w:rPr>
          <w:sz w:val="22"/>
          <w:szCs w:val="23"/>
        </w:rPr>
        <w:t xml:space="preserve">. </w:t>
      </w:r>
      <w:r w:rsidR="00412097">
        <w:rPr>
          <w:sz w:val="22"/>
          <w:szCs w:val="23"/>
        </w:rPr>
        <w:t>Gravels</w:t>
      </w:r>
      <w:r w:rsidR="00674967" w:rsidRPr="00674967">
        <w:rPr>
          <w:sz w:val="22"/>
          <w:szCs w:val="23"/>
        </w:rPr>
        <w:t xml:space="preserve"> are similarly determined as a result of </w:t>
      </w:r>
      <w:r w:rsidR="006152DB">
        <w:rPr>
          <w:sz w:val="22"/>
          <w:szCs w:val="23"/>
        </w:rPr>
        <w:t xml:space="preserve">the </w:t>
      </w:r>
      <w:r w:rsidR="00674967" w:rsidRPr="00674967">
        <w:rPr>
          <w:sz w:val="22"/>
          <w:szCs w:val="23"/>
        </w:rPr>
        <w:t>tests that are sensitive to liquefact</w:t>
      </w:r>
      <w:r w:rsidR="00412097">
        <w:rPr>
          <w:sz w:val="22"/>
          <w:szCs w:val="23"/>
        </w:rPr>
        <w:t>ion due to gradation. For clays</w:t>
      </w:r>
      <w:r w:rsidR="00674967" w:rsidRPr="00674967">
        <w:rPr>
          <w:sz w:val="22"/>
          <w:szCs w:val="23"/>
        </w:rPr>
        <w:t xml:space="preserve">, </w:t>
      </w:r>
      <w:r w:rsidR="00412097">
        <w:rPr>
          <w:sz w:val="22"/>
          <w:szCs w:val="23"/>
        </w:rPr>
        <w:t>studies</w:t>
      </w:r>
      <w:r w:rsidR="00674967" w:rsidRPr="00674967">
        <w:rPr>
          <w:sz w:val="22"/>
          <w:szCs w:val="23"/>
        </w:rPr>
        <w:t xml:space="preserve"> </w:t>
      </w:r>
      <w:proofErr w:type="gramStart"/>
      <w:r w:rsidR="00674967" w:rsidRPr="00674967">
        <w:rPr>
          <w:sz w:val="22"/>
          <w:szCs w:val="23"/>
        </w:rPr>
        <w:t xml:space="preserve">still </w:t>
      </w:r>
      <w:r w:rsidR="00412097" w:rsidRPr="00674967">
        <w:rPr>
          <w:sz w:val="22"/>
          <w:szCs w:val="23"/>
        </w:rPr>
        <w:t>continue</w:t>
      </w:r>
      <w:proofErr w:type="gramEnd"/>
      <w:r w:rsidR="00412097">
        <w:rPr>
          <w:sz w:val="22"/>
          <w:szCs w:val="23"/>
        </w:rPr>
        <w:t>. Sensitive clays can</w:t>
      </w:r>
      <w:r w:rsidR="00674967" w:rsidRPr="00674967">
        <w:rPr>
          <w:sz w:val="22"/>
          <w:szCs w:val="23"/>
        </w:rPr>
        <w:t xml:space="preserve"> </w:t>
      </w:r>
      <w:r w:rsidR="00412097">
        <w:rPr>
          <w:sz w:val="22"/>
          <w:szCs w:val="23"/>
        </w:rPr>
        <w:t>show</w:t>
      </w:r>
      <w:r w:rsidR="00674967" w:rsidRPr="00674967">
        <w:rPr>
          <w:sz w:val="22"/>
          <w:szCs w:val="23"/>
        </w:rPr>
        <w:t xml:space="preserve"> softening</w:t>
      </w:r>
      <w:r w:rsidR="00412097">
        <w:rPr>
          <w:sz w:val="22"/>
          <w:szCs w:val="23"/>
        </w:rPr>
        <w:t xml:space="preserve"> and </w:t>
      </w:r>
      <w:r w:rsidR="00412097" w:rsidRPr="00674967">
        <w:rPr>
          <w:sz w:val="22"/>
          <w:szCs w:val="23"/>
        </w:rPr>
        <w:t>deformation</w:t>
      </w:r>
      <w:r w:rsidR="00412097">
        <w:rPr>
          <w:sz w:val="22"/>
          <w:szCs w:val="23"/>
        </w:rPr>
        <w:t xml:space="preserve"> like liquefied soils. </w:t>
      </w:r>
      <w:r w:rsidR="00674967" w:rsidRPr="00674967">
        <w:rPr>
          <w:sz w:val="22"/>
          <w:szCs w:val="23"/>
        </w:rPr>
        <w:t>In the past, the Chinese criterion for cohes</w:t>
      </w:r>
      <w:r w:rsidR="005940BC">
        <w:rPr>
          <w:sz w:val="22"/>
          <w:szCs w:val="23"/>
        </w:rPr>
        <w:t>ive soils</w:t>
      </w:r>
      <w:r w:rsidR="00674967" w:rsidRPr="00674967">
        <w:rPr>
          <w:sz w:val="22"/>
          <w:szCs w:val="23"/>
        </w:rPr>
        <w:t xml:space="preserve"> was interpreted with liquefaction potential due to grain size, liquid limit value and natural water content, but recent studies have shown that these value</w:t>
      </w:r>
      <w:r w:rsidR="00FF49D2">
        <w:rPr>
          <w:sz w:val="22"/>
          <w:szCs w:val="23"/>
        </w:rPr>
        <w:t xml:space="preserve">s ​​vary according to the </w:t>
      </w:r>
      <w:r w:rsidR="00674967" w:rsidRPr="00674967">
        <w:rPr>
          <w:sz w:val="22"/>
          <w:szCs w:val="23"/>
        </w:rPr>
        <w:t>s</w:t>
      </w:r>
      <w:r w:rsidR="00FF49D2">
        <w:rPr>
          <w:sz w:val="22"/>
          <w:szCs w:val="23"/>
        </w:rPr>
        <w:t>oils</w:t>
      </w:r>
      <w:r w:rsidR="00674967" w:rsidRPr="00674967">
        <w:rPr>
          <w:sz w:val="22"/>
          <w:szCs w:val="23"/>
        </w:rPr>
        <w:t>. Espe</w:t>
      </w:r>
      <w:r w:rsidR="00FF49D2">
        <w:rPr>
          <w:sz w:val="22"/>
          <w:szCs w:val="23"/>
        </w:rPr>
        <w:t>ciall</w:t>
      </w:r>
      <w:r w:rsidR="00027DD0">
        <w:rPr>
          <w:sz w:val="22"/>
          <w:szCs w:val="23"/>
        </w:rPr>
        <w:t>y</w:t>
      </w:r>
      <w:r w:rsidR="00FF49D2">
        <w:rPr>
          <w:sz w:val="22"/>
          <w:szCs w:val="23"/>
        </w:rPr>
        <w:t>, Chinese criterion</w:t>
      </w:r>
      <w:r w:rsidR="00674967" w:rsidRPr="00674967">
        <w:rPr>
          <w:sz w:val="22"/>
          <w:szCs w:val="23"/>
        </w:rPr>
        <w:t xml:space="preserve"> </w:t>
      </w:r>
      <w:r w:rsidR="00027DD0">
        <w:rPr>
          <w:sz w:val="22"/>
          <w:szCs w:val="23"/>
        </w:rPr>
        <w:t>re-evaluated with new limit values</w:t>
      </w:r>
      <w:r w:rsidR="00657511">
        <w:rPr>
          <w:sz w:val="22"/>
          <w:szCs w:val="23"/>
        </w:rPr>
        <w:t xml:space="preserve">. In the new criteria, if </w:t>
      </w:r>
      <w:r w:rsidR="00657511" w:rsidRPr="00674967">
        <w:rPr>
          <w:sz w:val="22"/>
          <w:szCs w:val="23"/>
        </w:rPr>
        <w:t xml:space="preserve">clay </w:t>
      </w:r>
      <w:r w:rsidR="00657511">
        <w:rPr>
          <w:sz w:val="22"/>
          <w:szCs w:val="23"/>
        </w:rPr>
        <w:t xml:space="preserve">amount less than 10% and the liquid limit </w:t>
      </w:r>
      <w:r w:rsidR="00674967" w:rsidRPr="00674967">
        <w:rPr>
          <w:sz w:val="22"/>
          <w:szCs w:val="23"/>
        </w:rPr>
        <w:t xml:space="preserve">is greater than or equal </w:t>
      </w:r>
      <w:r w:rsidR="001A7411">
        <w:rPr>
          <w:sz w:val="22"/>
          <w:szCs w:val="23"/>
        </w:rPr>
        <w:t xml:space="preserve">to 32%, the liquefaction </w:t>
      </w:r>
      <w:r w:rsidR="002E3CDF">
        <w:rPr>
          <w:sz w:val="22"/>
          <w:szCs w:val="23"/>
        </w:rPr>
        <w:t>can occur</w:t>
      </w:r>
      <w:r w:rsidR="00674967" w:rsidRPr="00674967">
        <w:rPr>
          <w:sz w:val="22"/>
          <w:szCs w:val="23"/>
        </w:rPr>
        <w:t xml:space="preserve">, </w:t>
      </w:r>
      <w:r w:rsidR="002E3CDF">
        <w:rPr>
          <w:sz w:val="22"/>
          <w:szCs w:val="23"/>
        </w:rPr>
        <w:t xml:space="preserve">if </w:t>
      </w:r>
      <w:r w:rsidR="00674967" w:rsidRPr="00674967">
        <w:rPr>
          <w:sz w:val="22"/>
          <w:szCs w:val="23"/>
        </w:rPr>
        <w:t>the clay content is more than 10% and the liquid limit value is greater than 32%</w:t>
      </w:r>
      <w:r w:rsidR="002E3CDF">
        <w:rPr>
          <w:sz w:val="22"/>
          <w:szCs w:val="23"/>
        </w:rPr>
        <w:t xml:space="preserve">, </w:t>
      </w:r>
      <w:r w:rsidR="00674967" w:rsidRPr="00674967">
        <w:rPr>
          <w:sz w:val="22"/>
          <w:szCs w:val="23"/>
        </w:rPr>
        <w:t>liquefaction potential</w:t>
      </w:r>
      <w:r w:rsidR="002E3CDF">
        <w:rPr>
          <w:sz w:val="22"/>
          <w:szCs w:val="23"/>
        </w:rPr>
        <w:t xml:space="preserve"> depends on the loading cycle</w:t>
      </w:r>
      <w:r w:rsidR="00674967" w:rsidRPr="00674967">
        <w:rPr>
          <w:sz w:val="22"/>
          <w:szCs w:val="23"/>
        </w:rPr>
        <w:t>. On the other hand, it was emphasized that when the</w:t>
      </w:r>
      <w:r w:rsidR="00EF1704">
        <w:rPr>
          <w:sz w:val="22"/>
          <w:szCs w:val="23"/>
        </w:rPr>
        <w:t xml:space="preserve"> clay content is more than 20%,</w:t>
      </w:r>
      <w:r w:rsidR="00EF1704" w:rsidRPr="00674967">
        <w:rPr>
          <w:sz w:val="22"/>
          <w:szCs w:val="23"/>
        </w:rPr>
        <w:t xml:space="preserve"> there is no liquefaction potential</w:t>
      </w:r>
      <w:r w:rsidR="00EF1704">
        <w:rPr>
          <w:sz w:val="22"/>
          <w:szCs w:val="23"/>
        </w:rPr>
        <w:t>.</w:t>
      </w:r>
      <w:r w:rsidR="00EF1704" w:rsidRPr="00674967">
        <w:rPr>
          <w:sz w:val="22"/>
          <w:szCs w:val="23"/>
        </w:rPr>
        <w:t xml:space="preserve"> </w:t>
      </w:r>
      <w:r w:rsidR="00EF1704">
        <w:rPr>
          <w:sz w:val="22"/>
          <w:szCs w:val="23"/>
        </w:rPr>
        <w:t>For</w:t>
      </w:r>
      <w:r w:rsidR="00EF1704" w:rsidRPr="00674967">
        <w:rPr>
          <w:sz w:val="22"/>
          <w:szCs w:val="23"/>
        </w:rPr>
        <w:t xml:space="preserve"> the range of 10% to 20%</w:t>
      </w:r>
      <w:r w:rsidR="00007D26">
        <w:rPr>
          <w:sz w:val="22"/>
          <w:szCs w:val="23"/>
        </w:rPr>
        <w:t>,</w:t>
      </w:r>
      <w:r w:rsidR="00EF1704" w:rsidRPr="00674967">
        <w:rPr>
          <w:sz w:val="22"/>
          <w:szCs w:val="23"/>
        </w:rPr>
        <w:t xml:space="preserve"> </w:t>
      </w:r>
      <w:r w:rsidR="00674967" w:rsidRPr="00674967">
        <w:rPr>
          <w:sz w:val="22"/>
          <w:szCs w:val="23"/>
        </w:rPr>
        <w:t xml:space="preserve">additional work is required and the </w:t>
      </w:r>
      <w:r w:rsidR="005940BC" w:rsidRPr="00674967">
        <w:rPr>
          <w:sz w:val="22"/>
          <w:szCs w:val="23"/>
        </w:rPr>
        <w:t>behaviour</w:t>
      </w:r>
      <w:r w:rsidR="00674967" w:rsidRPr="00674967">
        <w:rPr>
          <w:sz w:val="22"/>
          <w:szCs w:val="23"/>
        </w:rPr>
        <w:t xml:space="preserve"> changes depending on the plasticity.</w:t>
      </w:r>
    </w:p>
    <w:p w:rsidR="00A47C1A" w:rsidRPr="00D60060" w:rsidRDefault="00010608" w:rsidP="00B4407B">
      <w:pPr>
        <w:ind w:firstLine="397"/>
        <w:contextualSpacing/>
        <w:mirrorIndents/>
        <w:rPr>
          <w:sz w:val="22"/>
          <w:szCs w:val="23"/>
        </w:rPr>
      </w:pPr>
      <w:r w:rsidRPr="00010608">
        <w:rPr>
          <w:sz w:val="22"/>
          <w:szCs w:val="23"/>
        </w:rPr>
        <w:t xml:space="preserve">In this study, </w:t>
      </w:r>
      <w:r w:rsidR="00C278BD">
        <w:rPr>
          <w:sz w:val="22"/>
          <w:szCs w:val="23"/>
        </w:rPr>
        <w:t>cohesive</w:t>
      </w:r>
      <w:r w:rsidRPr="00010608">
        <w:rPr>
          <w:sz w:val="22"/>
          <w:szCs w:val="23"/>
        </w:rPr>
        <w:t xml:space="preserve"> soils were taken from the city of Eskisehir, Turkey. Reconstituted samples were tested by using laboratory scale shaking table test device. Liquefaction </w:t>
      </w:r>
      <w:r w:rsidR="00C278BD">
        <w:rPr>
          <w:sz w:val="22"/>
          <w:szCs w:val="23"/>
        </w:rPr>
        <w:t>behaviour</w:t>
      </w:r>
      <w:r w:rsidRPr="00010608">
        <w:rPr>
          <w:sz w:val="22"/>
          <w:szCs w:val="23"/>
        </w:rPr>
        <w:t xml:space="preserve"> of the soil samples are determined and the test results were presented.</w:t>
      </w:r>
    </w:p>
    <w:p w:rsidR="00A47C1A" w:rsidRDefault="00A47C1A" w:rsidP="006D4F5A">
      <w:pPr>
        <w:ind w:firstLine="397"/>
        <w:contextualSpacing/>
        <w:mirrorIndents/>
        <w:rPr>
          <w:sz w:val="22"/>
          <w:szCs w:val="22"/>
        </w:rPr>
      </w:pPr>
    </w:p>
    <w:p w:rsidR="00A47C1A" w:rsidRPr="00942EA6" w:rsidRDefault="000E68A7" w:rsidP="00976433">
      <w:pPr>
        <w:ind w:firstLine="0"/>
        <w:contextualSpacing/>
        <w:mirrorIndents/>
        <w:rPr>
          <w:rFonts w:ascii="Arial" w:hAnsi="Arial" w:cs="Arial"/>
          <w:b/>
          <w:szCs w:val="24"/>
        </w:rPr>
      </w:pPr>
      <w:r>
        <w:rPr>
          <w:rFonts w:ascii="Arial" w:hAnsi="Arial" w:cs="Arial"/>
          <w:b/>
          <w:szCs w:val="24"/>
        </w:rPr>
        <w:t xml:space="preserve">2. </w:t>
      </w:r>
      <w:r w:rsidRPr="000E68A7">
        <w:rPr>
          <w:rFonts w:ascii="Arial" w:hAnsi="Arial" w:cs="Arial"/>
          <w:b/>
          <w:szCs w:val="24"/>
        </w:rPr>
        <w:t>Experimental Study</w:t>
      </w:r>
    </w:p>
    <w:p w:rsidR="00DD20AF" w:rsidRDefault="002A062B" w:rsidP="00B4407B">
      <w:pPr>
        <w:contextualSpacing/>
        <w:mirrorIndents/>
        <w:rPr>
          <w:sz w:val="22"/>
          <w:szCs w:val="22"/>
        </w:rPr>
      </w:pPr>
      <w:r w:rsidRPr="002A062B">
        <w:rPr>
          <w:sz w:val="22"/>
          <w:szCs w:val="22"/>
        </w:rPr>
        <w:t xml:space="preserve">In this study, cohesive soils were tested by using laboratory scale shaking table to investigate liquefaction potential. </w:t>
      </w:r>
      <w:r w:rsidR="00DD20AF" w:rsidRPr="00DD20AF">
        <w:rPr>
          <w:sz w:val="22"/>
          <w:szCs w:val="22"/>
        </w:rPr>
        <w:t xml:space="preserve">Shaking table is a test system </w:t>
      </w:r>
      <w:r>
        <w:rPr>
          <w:sz w:val="22"/>
          <w:szCs w:val="22"/>
        </w:rPr>
        <w:t>to simulate earthquake loa</w:t>
      </w:r>
      <w:bookmarkStart w:id="3" w:name="_GoBack"/>
      <w:bookmarkEnd w:id="3"/>
      <w:r>
        <w:rPr>
          <w:sz w:val="22"/>
          <w:szCs w:val="22"/>
        </w:rPr>
        <w:t>ding.</w:t>
      </w:r>
    </w:p>
    <w:p w:rsidR="006044B0" w:rsidRDefault="006044B0" w:rsidP="006D4F5A">
      <w:pPr>
        <w:ind w:firstLine="397"/>
        <w:contextualSpacing/>
        <w:mirrorIndents/>
        <w:rPr>
          <w:sz w:val="22"/>
          <w:szCs w:val="22"/>
        </w:rPr>
      </w:pPr>
    </w:p>
    <w:p w:rsidR="00A47C1A" w:rsidRDefault="002976A3" w:rsidP="00976433">
      <w:pPr>
        <w:ind w:firstLine="0"/>
        <w:contextualSpacing/>
        <w:mirrorIndents/>
        <w:rPr>
          <w:rFonts w:ascii="Arial" w:hAnsi="Arial" w:cs="Arial"/>
          <w:b/>
          <w:sz w:val="21"/>
          <w:szCs w:val="21"/>
        </w:rPr>
      </w:pPr>
      <w:r w:rsidRPr="00B62A02">
        <w:rPr>
          <w:rFonts w:ascii="Arial" w:hAnsi="Arial" w:cs="Arial"/>
          <w:b/>
          <w:sz w:val="21"/>
          <w:szCs w:val="21"/>
        </w:rPr>
        <w:t>2.</w:t>
      </w:r>
      <w:r w:rsidR="00942EA6" w:rsidRPr="00B62A02">
        <w:rPr>
          <w:rFonts w:ascii="Arial" w:hAnsi="Arial" w:cs="Arial"/>
          <w:b/>
          <w:sz w:val="21"/>
          <w:szCs w:val="21"/>
        </w:rPr>
        <w:t xml:space="preserve">1. </w:t>
      </w:r>
      <w:r w:rsidR="000E68A7" w:rsidRPr="000E68A7">
        <w:rPr>
          <w:rFonts w:ascii="Arial" w:hAnsi="Arial" w:cs="Arial"/>
          <w:b/>
          <w:sz w:val="21"/>
          <w:szCs w:val="21"/>
        </w:rPr>
        <w:t>Materials</w:t>
      </w:r>
    </w:p>
    <w:p w:rsidR="0045667B" w:rsidRDefault="003D2B29" w:rsidP="00B4407B">
      <w:pPr>
        <w:contextualSpacing/>
        <w:mirrorIndents/>
        <w:rPr>
          <w:sz w:val="22"/>
          <w:szCs w:val="22"/>
        </w:rPr>
      </w:pPr>
      <w:r>
        <w:rPr>
          <w:sz w:val="22"/>
          <w:szCs w:val="22"/>
        </w:rPr>
        <w:t>Cohesive silty clay</w:t>
      </w:r>
      <w:r w:rsidR="000207C7" w:rsidRPr="000207C7">
        <w:rPr>
          <w:sz w:val="22"/>
          <w:szCs w:val="22"/>
        </w:rPr>
        <w:t xml:space="preserve"> soil </w:t>
      </w:r>
      <w:r>
        <w:rPr>
          <w:sz w:val="22"/>
          <w:szCs w:val="22"/>
        </w:rPr>
        <w:t>samples were</w:t>
      </w:r>
      <w:r w:rsidR="000207C7" w:rsidRPr="000207C7">
        <w:rPr>
          <w:sz w:val="22"/>
          <w:szCs w:val="22"/>
        </w:rPr>
        <w:t xml:space="preserve"> used for the experiments. </w:t>
      </w:r>
      <w:r>
        <w:rPr>
          <w:sz w:val="22"/>
          <w:szCs w:val="22"/>
        </w:rPr>
        <w:t>S</w:t>
      </w:r>
      <w:r w:rsidR="000207C7" w:rsidRPr="000207C7">
        <w:rPr>
          <w:sz w:val="22"/>
          <w:szCs w:val="22"/>
        </w:rPr>
        <w:t xml:space="preserve">amples were obtained from the city of Eskisehir, Turkey. </w:t>
      </w:r>
      <w:r w:rsidR="006E6A3C" w:rsidRPr="006E6A3C">
        <w:rPr>
          <w:sz w:val="22"/>
          <w:szCs w:val="22"/>
        </w:rPr>
        <w:t xml:space="preserve">Eskisehir </w:t>
      </w:r>
      <w:proofErr w:type="gramStart"/>
      <w:r w:rsidR="006E6A3C" w:rsidRPr="006E6A3C">
        <w:rPr>
          <w:sz w:val="22"/>
          <w:szCs w:val="22"/>
        </w:rPr>
        <w:t>is located in</w:t>
      </w:r>
      <w:proofErr w:type="gramEnd"/>
      <w:r w:rsidR="006E6A3C" w:rsidRPr="006E6A3C">
        <w:rPr>
          <w:sz w:val="22"/>
          <w:szCs w:val="22"/>
        </w:rPr>
        <w:t xml:space="preserve"> the </w:t>
      </w:r>
      <w:r w:rsidR="002B38FA" w:rsidRPr="006E6A3C">
        <w:rPr>
          <w:sz w:val="22"/>
          <w:szCs w:val="22"/>
        </w:rPr>
        <w:t>second-degree</w:t>
      </w:r>
      <w:r w:rsidR="005B773A">
        <w:rPr>
          <w:sz w:val="22"/>
          <w:szCs w:val="22"/>
        </w:rPr>
        <w:t xml:space="preserve"> earthquake zone</w:t>
      </w:r>
      <w:r w:rsidR="006E6A3C" w:rsidRPr="006E6A3C">
        <w:rPr>
          <w:sz w:val="22"/>
          <w:szCs w:val="22"/>
        </w:rPr>
        <w:t>.</w:t>
      </w:r>
      <w:r w:rsidR="002B38FA">
        <w:rPr>
          <w:sz w:val="22"/>
          <w:szCs w:val="22"/>
        </w:rPr>
        <w:t xml:space="preserve"> </w:t>
      </w:r>
      <w:r w:rsidR="005B773A">
        <w:rPr>
          <w:sz w:val="22"/>
          <w:szCs w:val="22"/>
        </w:rPr>
        <w:t>S</w:t>
      </w:r>
      <w:r w:rsidR="000207C7" w:rsidRPr="000207C7">
        <w:rPr>
          <w:sz w:val="22"/>
          <w:szCs w:val="22"/>
        </w:rPr>
        <w:t xml:space="preserve">oil index and classification tests were performed according to the ASTM standards. Basic soil characteristics are given in Table 1. </w:t>
      </w:r>
    </w:p>
    <w:p w:rsidR="00A611FF" w:rsidRDefault="00A611FF" w:rsidP="00B4407B">
      <w:pPr>
        <w:contextualSpacing/>
        <w:mirrorIndents/>
        <w:rPr>
          <w:sz w:val="22"/>
          <w:szCs w:val="22"/>
        </w:rPr>
      </w:pPr>
    </w:p>
    <w:p w:rsidR="000207C7" w:rsidRPr="00246A2A" w:rsidRDefault="000207C7" w:rsidP="00004036">
      <w:pPr>
        <w:ind w:firstLine="0"/>
        <w:jc w:val="center"/>
        <w:rPr>
          <w:sz w:val="20"/>
          <w:szCs w:val="18"/>
        </w:rPr>
      </w:pPr>
      <w:r w:rsidRPr="00246A2A">
        <w:rPr>
          <w:sz w:val="20"/>
          <w:szCs w:val="18"/>
        </w:rPr>
        <w:t>Table</w:t>
      </w:r>
      <w:r w:rsidR="00FD29E8">
        <w:rPr>
          <w:sz w:val="20"/>
          <w:szCs w:val="18"/>
        </w:rPr>
        <w:t xml:space="preserve"> </w:t>
      </w:r>
      <w:r w:rsidRPr="00246A2A">
        <w:rPr>
          <w:sz w:val="20"/>
          <w:szCs w:val="18"/>
        </w:rPr>
        <w:t>1. Basic soil characteristics of the test sample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3"/>
        <w:gridCol w:w="2602"/>
      </w:tblGrid>
      <w:tr w:rsidR="000207C7" w:rsidRPr="00246A2A" w:rsidTr="00EA286A">
        <w:trPr>
          <w:trHeight w:val="289"/>
          <w:jc w:val="center"/>
        </w:trPr>
        <w:tc>
          <w:tcPr>
            <w:tcW w:w="3573" w:type="dxa"/>
          </w:tcPr>
          <w:p w:rsidR="000207C7" w:rsidRPr="00246A2A" w:rsidRDefault="000207C7" w:rsidP="00DB281E">
            <w:pPr>
              <w:ind w:firstLine="0"/>
              <w:rPr>
                <w:sz w:val="20"/>
                <w:szCs w:val="18"/>
              </w:rPr>
            </w:pPr>
            <w:r w:rsidRPr="00246A2A">
              <w:rPr>
                <w:sz w:val="20"/>
                <w:szCs w:val="18"/>
              </w:rPr>
              <w:t>Description</w:t>
            </w:r>
          </w:p>
        </w:tc>
        <w:tc>
          <w:tcPr>
            <w:tcW w:w="2602" w:type="dxa"/>
          </w:tcPr>
          <w:p w:rsidR="000207C7" w:rsidRPr="00246A2A" w:rsidRDefault="000207C7" w:rsidP="00DB281E">
            <w:pPr>
              <w:ind w:firstLine="0"/>
              <w:rPr>
                <w:sz w:val="20"/>
                <w:szCs w:val="18"/>
              </w:rPr>
            </w:pPr>
            <w:r w:rsidRPr="00246A2A">
              <w:rPr>
                <w:sz w:val="20"/>
                <w:szCs w:val="18"/>
              </w:rPr>
              <w:t>Result</w:t>
            </w:r>
          </w:p>
        </w:tc>
      </w:tr>
      <w:tr w:rsidR="000207C7" w:rsidRPr="00246A2A" w:rsidTr="00EA286A">
        <w:trPr>
          <w:trHeight w:val="289"/>
          <w:jc w:val="center"/>
        </w:trPr>
        <w:tc>
          <w:tcPr>
            <w:tcW w:w="3573" w:type="dxa"/>
          </w:tcPr>
          <w:p w:rsidR="000207C7" w:rsidRPr="00246A2A" w:rsidRDefault="000207C7" w:rsidP="00DB281E">
            <w:pPr>
              <w:ind w:firstLine="0"/>
              <w:rPr>
                <w:sz w:val="20"/>
                <w:szCs w:val="18"/>
              </w:rPr>
            </w:pPr>
            <w:r w:rsidRPr="00246A2A">
              <w:rPr>
                <w:sz w:val="20"/>
                <w:szCs w:val="18"/>
              </w:rPr>
              <w:t>USCS</w:t>
            </w:r>
          </w:p>
        </w:tc>
        <w:tc>
          <w:tcPr>
            <w:tcW w:w="2602" w:type="dxa"/>
          </w:tcPr>
          <w:p w:rsidR="000207C7" w:rsidRPr="00246A2A" w:rsidRDefault="00387AEE" w:rsidP="00DB281E">
            <w:pPr>
              <w:ind w:firstLine="0"/>
              <w:rPr>
                <w:sz w:val="20"/>
                <w:szCs w:val="18"/>
              </w:rPr>
            </w:pPr>
            <w:r>
              <w:rPr>
                <w:sz w:val="20"/>
                <w:szCs w:val="18"/>
              </w:rPr>
              <w:t>CL</w:t>
            </w:r>
          </w:p>
        </w:tc>
      </w:tr>
      <w:tr w:rsidR="00D82FC8" w:rsidRPr="00246A2A" w:rsidTr="00EA286A">
        <w:trPr>
          <w:trHeight w:val="289"/>
          <w:jc w:val="center"/>
        </w:trPr>
        <w:tc>
          <w:tcPr>
            <w:tcW w:w="3573" w:type="dxa"/>
          </w:tcPr>
          <w:p w:rsidR="00D82FC8" w:rsidRPr="00246A2A" w:rsidRDefault="00D82FC8" w:rsidP="00DB281E">
            <w:pPr>
              <w:ind w:firstLine="0"/>
              <w:rPr>
                <w:sz w:val="20"/>
                <w:szCs w:val="18"/>
              </w:rPr>
            </w:pPr>
            <w:r w:rsidRPr="00246A2A">
              <w:rPr>
                <w:sz w:val="20"/>
                <w:szCs w:val="18"/>
              </w:rPr>
              <w:t>Amount of Gravel</w:t>
            </w:r>
          </w:p>
        </w:tc>
        <w:tc>
          <w:tcPr>
            <w:tcW w:w="2602" w:type="dxa"/>
          </w:tcPr>
          <w:p w:rsidR="00D82FC8" w:rsidRPr="00246A2A" w:rsidRDefault="00195133" w:rsidP="00DB281E">
            <w:pPr>
              <w:ind w:firstLine="0"/>
              <w:rPr>
                <w:sz w:val="20"/>
                <w:szCs w:val="18"/>
              </w:rPr>
            </w:pPr>
            <w:r>
              <w:rPr>
                <w:sz w:val="20"/>
                <w:szCs w:val="18"/>
              </w:rPr>
              <w:t>1</w:t>
            </w:r>
            <w:r w:rsidR="00FB143F">
              <w:rPr>
                <w:sz w:val="20"/>
                <w:szCs w:val="18"/>
              </w:rPr>
              <w:t xml:space="preserve"> </w:t>
            </w:r>
            <w:r w:rsidR="00D82FC8" w:rsidRPr="00246A2A">
              <w:rPr>
                <w:sz w:val="20"/>
                <w:szCs w:val="18"/>
              </w:rPr>
              <w:t>%</w:t>
            </w:r>
          </w:p>
        </w:tc>
      </w:tr>
      <w:tr w:rsidR="00D82FC8" w:rsidRPr="00246A2A" w:rsidTr="00EA286A">
        <w:trPr>
          <w:trHeight w:val="289"/>
          <w:jc w:val="center"/>
        </w:trPr>
        <w:tc>
          <w:tcPr>
            <w:tcW w:w="3573" w:type="dxa"/>
          </w:tcPr>
          <w:p w:rsidR="00D82FC8" w:rsidRPr="00246A2A" w:rsidRDefault="00D82FC8" w:rsidP="00DB281E">
            <w:pPr>
              <w:ind w:firstLine="0"/>
              <w:rPr>
                <w:sz w:val="20"/>
                <w:szCs w:val="18"/>
              </w:rPr>
            </w:pPr>
            <w:r w:rsidRPr="00246A2A">
              <w:rPr>
                <w:sz w:val="20"/>
                <w:szCs w:val="18"/>
              </w:rPr>
              <w:t>Amount of Sand</w:t>
            </w:r>
          </w:p>
        </w:tc>
        <w:tc>
          <w:tcPr>
            <w:tcW w:w="2602" w:type="dxa"/>
          </w:tcPr>
          <w:p w:rsidR="00D82FC8" w:rsidRPr="00246A2A" w:rsidRDefault="00195133" w:rsidP="00DB281E">
            <w:pPr>
              <w:ind w:firstLine="0"/>
              <w:rPr>
                <w:sz w:val="20"/>
                <w:szCs w:val="18"/>
              </w:rPr>
            </w:pPr>
            <w:r>
              <w:rPr>
                <w:sz w:val="20"/>
                <w:szCs w:val="18"/>
              </w:rPr>
              <w:t>15</w:t>
            </w:r>
            <w:r w:rsidR="00FB143F">
              <w:rPr>
                <w:sz w:val="20"/>
                <w:szCs w:val="18"/>
              </w:rPr>
              <w:t xml:space="preserve"> </w:t>
            </w:r>
            <w:r w:rsidR="00D82FC8" w:rsidRPr="00246A2A">
              <w:rPr>
                <w:sz w:val="20"/>
                <w:szCs w:val="18"/>
              </w:rPr>
              <w:t>%</w:t>
            </w:r>
          </w:p>
        </w:tc>
      </w:tr>
      <w:tr w:rsidR="00D82FC8" w:rsidRPr="00246A2A" w:rsidTr="00EA286A">
        <w:trPr>
          <w:trHeight w:val="289"/>
          <w:jc w:val="center"/>
        </w:trPr>
        <w:tc>
          <w:tcPr>
            <w:tcW w:w="3573" w:type="dxa"/>
          </w:tcPr>
          <w:p w:rsidR="00D82FC8" w:rsidRPr="00246A2A" w:rsidRDefault="00D82FC8" w:rsidP="00DB281E">
            <w:pPr>
              <w:ind w:firstLine="0"/>
              <w:rPr>
                <w:sz w:val="20"/>
                <w:szCs w:val="18"/>
              </w:rPr>
            </w:pPr>
            <w:r w:rsidRPr="00246A2A">
              <w:rPr>
                <w:sz w:val="20"/>
                <w:szCs w:val="18"/>
              </w:rPr>
              <w:t>Amount of Silt</w:t>
            </w:r>
            <w:r w:rsidR="00195133">
              <w:rPr>
                <w:sz w:val="20"/>
                <w:szCs w:val="18"/>
              </w:rPr>
              <w:t>&amp;</w:t>
            </w:r>
            <w:r w:rsidR="00195133" w:rsidRPr="00246A2A">
              <w:rPr>
                <w:sz w:val="20"/>
                <w:szCs w:val="18"/>
              </w:rPr>
              <w:t xml:space="preserve"> Clay</w:t>
            </w:r>
          </w:p>
        </w:tc>
        <w:tc>
          <w:tcPr>
            <w:tcW w:w="2602" w:type="dxa"/>
          </w:tcPr>
          <w:p w:rsidR="00D82FC8" w:rsidRPr="00246A2A" w:rsidRDefault="00195133" w:rsidP="00DB281E">
            <w:pPr>
              <w:ind w:firstLine="0"/>
              <w:rPr>
                <w:sz w:val="20"/>
                <w:szCs w:val="18"/>
              </w:rPr>
            </w:pPr>
            <w:r>
              <w:rPr>
                <w:sz w:val="20"/>
                <w:szCs w:val="18"/>
              </w:rPr>
              <w:t>84</w:t>
            </w:r>
            <w:r w:rsidR="00FB143F">
              <w:rPr>
                <w:sz w:val="20"/>
                <w:szCs w:val="18"/>
              </w:rPr>
              <w:t xml:space="preserve"> </w:t>
            </w:r>
            <w:r w:rsidR="00D82FC8" w:rsidRPr="00246A2A">
              <w:rPr>
                <w:sz w:val="20"/>
                <w:szCs w:val="18"/>
              </w:rPr>
              <w:t>%</w:t>
            </w:r>
          </w:p>
        </w:tc>
      </w:tr>
      <w:tr w:rsidR="00D82FC8" w:rsidRPr="00246A2A" w:rsidTr="00EA286A">
        <w:trPr>
          <w:trHeight w:val="305"/>
          <w:jc w:val="center"/>
        </w:trPr>
        <w:tc>
          <w:tcPr>
            <w:tcW w:w="3573" w:type="dxa"/>
          </w:tcPr>
          <w:p w:rsidR="00D82FC8" w:rsidRPr="00246A2A" w:rsidRDefault="00D82FC8" w:rsidP="00DB281E">
            <w:pPr>
              <w:ind w:firstLine="0"/>
              <w:rPr>
                <w:sz w:val="20"/>
                <w:szCs w:val="18"/>
              </w:rPr>
            </w:pPr>
            <w:r w:rsidRPr="00246A2A">
              <w:rPr>
                <w:sz w:val="20"/>
                <w:szCs w:val="18"/>
              </w:rPr>
              <w:t>Natural Unit Weight</w:t>
            </w:r>
          </w:p>
        </w:tc>
        <w:tc>
          <w:tcPr>
            <w:tcW w:w="2602" w:type="dxa"/>
          </w:tcPr>
          <w:p w:rsidR="00D82FC8" w:rsidRPr="00246A2A" w:rsidRDefault="00195133" w:rsidP="00DB281E">
            <w:pPr>
              <w:ind w:firstLine="0"/>
              <w:rPr>
                <w:sz w:val="20"/>
                <w:szCs w:val="18"/>
              </w:rPr>
            </w:pPr>
            <w:r>
              <w:rPr>
                <w:sz w:val="20"/>
                <w:szCs w:val="18"/>
              </w:rPr>
              <w:t>19</w:t>
            </w:r>
            <w:r w:rsidR="00D82FC8" w:rsidRPr="00246A2A">
              <w:rPr>
                <w:sz w:val="20"/>
                <w:szCs w:val="18"/>
              </w:rPr>
              <w:t>,</w:t>
            </w:r>
            <w:r>
              <w:rPr>
                <w:sz w:val="20"/>
                <w:szCs w:val="18"/>
              </w:rPr>
              <w:t>3</w:t>
            </w:r>
            <w:r w:rsidR="00D82FC8" w:rsidRPr="00246A2A">
              <w:rPr>
                <w:sz w:val="20"/>
                <w:szCs w:val="18"/>
              </w:rPr>
              <w:t xml:space="preserve"> </w:t>
            </w:r>
            <w:proofErr w:type="spellStart"/>
            <w:r w:rsidR="00D82FC8" w:rsidRPr="00246A2A">
              <w:rPr>
                <w:sz w:val="20"/>
                <w:szCs w:val="18"/>
              </w:rPr>
              <w:t>kN</w:t>
            </w:r>
            <w:proofErr w:type="spellEnd"/>
            <w:r w:rsidR="00D82FC8" w:rsidRPr="00246A2A">
              <w:rPr>
                <w:sz w:val="20"/>
                <w:szCs w:val="18"/>
              </w:rPr>
              <w:t>/m</w:t>
            </w:r>
            <w:r w:rsidR="00D82FC8" w:rsidRPr="00246A2A">
              <w:rPr>
                <w:sz w:val="20"/>
                <w:szCs w:val="18"/>
                <w:vertAlign w:val="superscript"/>
              </w:rPr>
              <w:t>3</w:t>
            </w:r>
          </w:p>
        </w:tc>
      </w:tr>
      <w:tr w:rsidR="00D82FC8" w:rsidRPr="00246A2A" w:rsidTr="00EA286A">
        <w:trPr>
          <w:trHeight w:val="289"/>
          <w:jc w:val="center"/>
        </w:trPr>
        <w:tc>
          <w:tcPr>
            <w:tcW w:w="3573" w:type="dxa"/>
          </w:tcPr>
          <w:p w:rsidR="00D82FC8" w:rsidRPr="00246A2A" w:rsidRDefault="00D82FC8" w:rsidP="00DB281E">
            <w:pPr>
              <w:ind w:firstLine="0"/>
              <w:rPr>
                <w:sz w:val="20"/>
                <w:szCs w:val="18"/>
              </w:rPr>
            </w:pPr>
            <w:r>
              <w:rPr>
                <w:sz w:val="20"/>
                <w:szCs w:val="18"/>
              </w:rPr>
              <w:t>Liquid Limit</w:t>
            </w:r>
          </w:p>
        </w:tc>
        <w:tc>
          <w:tcPr>
            <w:tcW w:w="2602" w:type="dxa"/>
          </w:tcPr>
          <w:p w:rsidR="00D82FC8" w:rsidRPr="00246A2A" w:rsidRDefault="00FB143F" w:rsidP="00DB281E">
            <w:pPr>
              <w:ind w:firstLine="0"/>
              <w:rPr>
                <w:sz w:val="20"/>
                <w:szCs w:val="18"/>
              </w:rPr>
            </w:pPr>
            <w:r>
              <w:rPr>
                <w:sz w:val="20"/>
                <w:szCs w:val="18"/>
              </w:rPr>
              <w:t xml:space="preserve">40 </w:t>
            </w:r>
            <w:r w:rsidR="00D82FC8">
              <w:rPr>
                <w:sz w:val="20"/>
                <w:szCs w:val="18"/>
              </w:rPr>
              <w:t xml:space="preserve">% </w:t>
            </w:r>
            <w:r w:rsidR="00D82FC8" w:rsidRPr="00246A2A">
              <w:rPr>
                <w:sz w:val="20"/>
                <w:szCs w:val="18"/>
              </w:rPr>
              <w:t xml:space="preserve"> </w:t>
            </w:r>
          </w:p>
        </w:tc>
      </w:tr>
      <w:tr w:rsidR="00D82FC8" w:rsidRPr="00246A2A" w:rsidTr="00EA286A">
        <w:trPr>
          <w:trHeight w:val="289"/>
          <w:jc w:val="center"/>
        </w:trPr>
        <w:tc>
          <w:tcPr>
            <w:tcW w:w="3573" w:type="dxa"/>
          </w:tcPr>
          <w:p w:rsidR="00D82FC8" w:rsidRPr="00246A2A" w:rsidRDefault="00D82FC8" w:rsidP="00DB281E">
            <w:pPr>
              <w:ind w:firstLine="0"/>
              <w:rPr>
                <w:sz w:val="20"/>
                <w:szCs w:val="18"/>
              </w:rPr>
            </w:pPr>
            <w:r>
              <w:rPr>
                <w:sz w:val="20"/>
                <w:szCs w:val="18"/>
              </w:rPr>
              <w:t>Plastic Limit</w:t>
            </w:r>
          </w:p>
        </w:tc>
        <w:tc>
          <w:tcPr>
            <w:tcW w:w="2602" w:type="dxa"/>
          </w:tcPr>
          <w:p w:rsidR="00D82FC8" w:rsidRPr="00246A2A" w:rsidRDefault="00195133" w:rsidP="00DB281E">
            <w:pPr>
              <w:ind w:firstLine="0"/>
              <w:rPr>
                <w:sz w:val="20"/>
                <w:szCs w:val="18"/>
              </w:rPr>
            </w:pPr>
            <w:r>
              <w:rPr>
                <w:sz w:val="20"/>
                <w:szCs w:val="18"/>
              </w:rPr>
              <w:t>17</w:t>
            </w:r>
            <w:r w:rsidR="00FB143F">
              <w:rPr>
                <w:sz w:val="20"/>
                <w:szCs w:val="18"/>
              </w:rPr>
              <w:t xml:space="preserve"> </w:t>
            </w:r>
            <w:r w:rsidR="00D82FC8">
              <w:rPr>
                <w:sz w:val="20"/>
                <w:szCs w:val="18"/>
              </w:rPr>
              <w:t xml:space="preserve">% </w:t>
            </w:r>
            <w:r w:rsidR="00D82FC8" w:rsidRPr="00246A2A">
              <w:rPr>
                <w:sz w:val="20"/>
                <w:szCs w:val="18"/>
              </w:rPr>
              <w:t xml:space="preserve"> </w:t>
            </w:r>
          </w:p>
        </w:tc>
      </w:tr>
      <w:tr w:rsidR="00D82FC8" w:rsidRPr="00246A2A" w:rsidTr="00EA286A">
        <w:trPr>
          <w:trHeight w:val="289"/>
          <w:jc w:val="center"/>
        </w:trPr>
        <w:tc>
          <w:tcPr>
            <w:tcW w:w="3573" w:type="dxa"/>
          </w:tcPr>
          <w:p w:rsidR="00D82FC8" w:rsidRDefault="00D82FC8" w:rsidP="00DB281E">
            <w:pPr>
              <w:ind w:firstLine="0"/>
              <w:rPr>
                <w:sz w:val="20"/>
                <w:szCs w:val="18"/>
              </w:rPr>
            </w:pPr>
            <w:r>
              <w:rPr>
                <w:sz w:val="20"/>
                <w:szCs w:val="18"/>
              </w:rPr>
              <w:t>Plasticity Index</w:t>
            </w:r>
          </w:p>
        </w:tc>
        <w:tc>
          <w:tcPr>
            <w:tcW w:w="2602" w:type="dxa"/>
          </w:tcPr>
          <w:p w:rsidR="00D82FC8" w:rsidRDefault="00195133" w:rsidP="00DB281E">
            <w:pPr>
              <w:ind w:firstLine="0"/>
              <w:rPr>
                <w:sz w:val="20"/>
                <w:szCs w:val="18"/>
              </w:rPr>
            </w:pPr>
            <w:r>
              <w:rPr>
                <w:sz w:val="20"/>
                <w:szCs w:val="18"/>
              </w:rPr>
              <w:t>23</w:t>
            </w:r>
          </w:p>
        </w:tc>
      </w:tr>
      <w:tr w:rsidR="00195133" w:rsidRPr="00246A2A" w:rsidTr="00EA286A">
        <w:trPr>
          <w:trHeight w:val="289"/>
          <w:jc w:val="center"/>
        </w:trPr>
        <w:tc>
          <w:tcPr>
            <w:tcW w:w="3573" w:type="dxa"/>
          </w:tcPr>
          <w:p w:rsidR="00195133" w:rsidRDefault="00195133" w:rsidP="00DB281E">
            <w:pPr>
              <w:ind w:firstLine="0"/>
              <w:rPr>
                <w:sz w:val="20"/>
                <w:szCs w:val="18"/>
              </w:rPr>
            </w:pPr>
            <w:r>
              <w:rPr>
                <w:sz w:val="20"/>
                <w:szCs w:val="18"/>
              </w:rPr>
              <w:t>Natural Water Content</w:t>
            </w:r>
          </w:p>
        </w:tc>
        <w:tc>
          <w:tcPr>
            <w:tcW w:w="2602" w:type="dxa"/>
          </w:tcPr>
          <w:p w:rsidR="00195133" w:rsidRDefault="00195133" w:rsidP="00DB281E">
            <w:pPr>
              <w:ind w:firstLine="0"/>
              <w:rPr>
                <w:sz w:val="20"/>
                <w:szCs w:val="18"/>
              </w:rPr>
            </w:pPr>
            <w:r>
              <w:rPr>
                <w:sz w:val="20"/>
                <w:szCs w:val="18"/>
              </w:rPr>
              <w:t>19,8%</w:t>
            </w:r>
          </w:p>
        </w:tc>
      </w:tr>
    </w:tbl>
    <w:p w:rsidR="000207C7" w:rsidRPr="00942EA6" w:rsidRDefault="000207C7" w:rsidP="006D4F5A">
      <w:pPr>
        <w:ind w:firstLine="397"/>
        <w:contextualSpacing/>
        <w:mirrorIndents/>
        <w:rPr>
          <w:sz w:val="22"/>
          <w:szCs w:val="22"/>
        </w:rPr>
      </w:pPr>
    </w:p>
    <w:p w:rsidR="00A47C1A" w:rsidRPr="00942EA6" w:rsidRDefault="00A47C1A" w:rsidP="006D4F5A">
      <w:pPr>
        <w:ind w:firstLine="397"/>
        <w:contextualSpacing/>
        <w:mirrorIndents/>
        <w:rPr>
          <w:sz w:val="22"/>
          <w:szCs w:val="22"/>
        </w:rPr>
      </w:pPr>
    </w:p>
    <w:p w:rsidR="00A47C1A" w:rsidRPr="00B62A02" w:rsidRDefault="002976A3" w:rsidP="00976433">
      <w:pPr>
        <w:ind w:firstLine="0"/>
        <w:contextualSpacing/>
        <w:mirrorIndents/>
        <w:rPr>
          <w:rFonts w:ascii="Arial" w:hAnsi="Arial" w:cs="Arial"/>
          <w:b/>
          <w:sz w:val="21"/>
          <w:szCs w:val="21"/>
        </w:rPr>
      </w:pPr>
      <w:r w:rsidRPr="00B62A02">
        <w:rPr>
          <w:rFonts w:ascii="Arial" w:hAnsi="Arial" w:cs="Arial"/>
          <w:b/>
          <w:sz w:val="21"/>
          <w:szCs w:val="21"/>
        </w:rPr>
        <w:t>2.</w:t>
      </w:r>
      <w:r w:rsidR="008F2FF4" w:rsidRPr="00B62A02">
        <w:rPr>
          <w:rFonts w:ascii="Arial" w:hAnsi="Arial" w:cs="Arial"/>
          <w:b/>
          <w:sz w:val="21"/>
          <w:szCs w:val="21"/>
        </w:rPr>
        <w:t xml:space="preserve">2. </w:t>
      </w:r>
      <w:r w:rsidR="000E68A7" w:rsidRPr="000E68A7">
        <w:rPr>
          <w:rFonts w:ascii="Arial" w:hAnsi="Arial" w:cs="Arial"/>
          <w:b/>
          <w:sz w:val="21"/>
          <w:szCs w:val="21"/>
        </w:rPr>
        <w:t>Test Equipment</w:t>
      </w:r>
    </w:p>
    <w:p w:rsidR="000E68A7" w:rsidRDefault="00B4407B" w:rsidP="0065409E">
      <w:pPr>
        <w:contextualSpacing/>
        <w:mirrorIndents/>
        <w:rPr>
          <w:sz w:val="22"/>
          <w:szCs w:val="22"/>
        </w:rPr>
      </w:pPr>
      <w:r w:rsidRPr="00B4407B">
        <w:rPr>
          <w:sz w:val="22"/>
          <w:szCs w:val="22"/>
        </w:rPr>
        <w:t xml:space="preserve">A laboratory scale shaking table test device was </w:t>
      </w:r>
      <w:r w:rsidR="00962E64">
        <w:rPr>
          <w:sz w:val="22"/>
          <w:szCs w:val="22"/>
        </w:rPr>
        <w:t>used</w:t>
      </w:r>
      <w:r w:rsidRPr="00B4407B">
        <w:rPr>
          <w:sz w:val="22"/>
          <w:szCs w:val="22"/>
        </w:rPr>
        <w:t xml:space="preserve"> for the tests.</w:t>
      </w:r>
      <w:r w:rsidR="00962E64">
        <w:rPr>
          <w:sz w:val="22"/>
          <w:szCs w:val="22"/>
        </w:rPr>
        <w:t xml:space="preserve"> </w:t>
      </w:r>
      <w:r w:rsidRPr="00B4407B">
        <w:rPr>
          <w:sz w:val="22"/>
          <w:szCs w:val="22"/>
        </w:rPr>
        <w:t xml:space="preserve"> </w:t>
      </w:r>
      <w:r w:rsidR="00962E64">
        <w:rPr>
          <w:sz w:val="22"/>
          <w:szCs w:val="22"/>
        </w:rPr>
        <w:t>E</w:t>
      </w:r>
      <w:r w:rsidR="00962E64" w:rsidRPr="00962E64">
        <w:rPr>
          <w:sz w:val="22"/>
          <w:szCs w:val="22"/>
        </w:rPr>
        <w:t xml:space="preserve">arthquake loading </w:t>
      </w:r>
      <w:r w:rsidR="00962E64">
        <w:rPr>
          <w:sz w:val="22"/>
          <w:szCs w:val="22"/>
        </w:rPr>
        <w:t>can simulate and</w:t>
      </w:r>
      <w:r w:rsidR="00962E64" w:rsidRPr="00962E64">
        <w:rPr>
          <w:sz w:val="22"/>
          <w:szCs w:val="22"/>
        </w:rPr>
        <w:t xml:space="preserve"> </w:t>
      </w:r>
      <w:r w:rsidR="00962E64">
        <w:rPr>
          <w:sz w:val="22"/>
          <w:szCs w:val="22"/>
        </w:rPr>
        <w:t xml:space="preserve">soil </w:t>
      </w:r>
      <w:r w:rsidR="00962E64" w:rsidRPr="00962E64">
        <w:rPr>
          <w:sz w:val="22"/>
          <w:szCs w:val="22"/>
        </w:rPr>
        <w:t xml:space="preserve">behaviour </w:t>
      </w:r>
      <w:r w:rsidR="00962E64">
        <w:rPr>
          <w:sz w:val="22"/>
          <w:szCs w:val="22"/>
        </w:rPr>
        <w:t>can be observed by the shaking table test device</w:t>
      </w:r>
      <w:r w:rsidR="00962E64" w:rsidRPr="00962E64">
        <w:rPr>
          <w:sz w:val="22"/>
          <w:szCs w:val="22"/>
        </w:rPr>
        <w:t xml:space="preserve">. </w:t>
      </w:r>
      <w:r w:rsidRPr="00B4407B">
        <w:rPr>
          <w:sz w:val="22"/>
          <w:szCs w:val="22"/>
        </w:rPr>
        <w:t xml:space="preserve">The shaking table </w:t>
      </w:r>
      <w:r w:rsidR="00962E64">
        <w:rPr>
          <w:sz w:val="22"/>
          <w:szCs w:val="22"/>
        </w:rPr>
        <w:t>test device is shown in Figure 2</w:t>
      </w:r>
      <w:r w:rsidRPr="00B4407B">
        <w:rPr>
          <w:sz w:val="22"/>
          <w:szCs w:val="22"/>
        </w:rPr>
        <w:t>. The system is controlled by a c</w:t>
      </w:r>
      <w:r w:rsidR="00EE65E5">
        <w:rPr>
          <w:sz w:val="22"/>
          <w:szCs w:val="22"/>
        </w:rPr>
        <w:t>omputer and all inputs is</w:t>
      </w:r>
      <w:r w:rsidRPr="00B4407B">
        <w:rPr>
          <w:sz w:val="22"/>
          <w:szCs w:val="22"/>
        </w:rPr>
        <w:t xml:space="preserve"> given automatically. </w:t>
      </w:r>
    </w:p>
    <w:p w:rsidR="00B4407B" w:rsidRDefault="00B4407B" w:rsidP="006D4F5A">
      <w:pPr>
        <w:ind w:firstLine="397"/>
        <w:contextualSpacing/>
        <w:mirrorIndents/>
        <w:rPr>
          <w:sz w:val="22"/>
          <w:szCs w:val="22"/>
        </w:rPr>
      </w:pPr>
    </w:p>
    <w:p w:rsidR="00B4407B" w:rsidRPr="00CA3207" w:rsidRDefault="00B4407B" w:rsidP="00B44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sz w:val="18"/>
          <w:szCs w:val="18"/>
        </w:rPr>
      </w:pPr>
      <w:r>
        <w:rPr>
          <w:rFonts w:ascii="Arial" w:hAnsi="Arial" w:cs="Arial"/>
          <w:noProof/>
          <w:sz w:val="18"/>
          <w:szCs w:val="18"/>
        </w:rPr>
        <w:drawing>
          <wp:inline distT="0" distB="0" distL="0" distR="0">
            <wp:extent cx="2457450" cy="2590800"/>
            <wp:effectExtent l="0" t="0" r="0" b="0"/>
            <wp:docPr id="1" name="Resim 1" descr="IMG_4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4497"/>
                    <pic:cNvPicPr>
                      <a:picLocks noChangeAspect="1" noChangeArrowheads="1"/>
                    </pic:cNvPicPr>
                  </pic:nvPicPr>
                  <pic:blipFill>
                    <a:blip r:embed="rId9" cstate="print">
                      <a:extLst>
                        <a:ext uri="{28A0092B-C50C-407E-A947-70E740481C1C}">
                          <a14:useLocalDpi xmlns:a14="http://schemas.microsoft.com/office/drawing/2010/main" val="0"/>
                        </a:ext>
                      </a:extLst>
                    </a:blip>
                    <a:srcRect t="15834" b="24771"/>
                    <a:stretch>
                      <a:fillRect/>
                    </a:stretch>
                  </pic:blipFill>
                  <pic:spPr bwMode="auto">
                    <a:xfrm>
                      <a:off x="0" y="0"/>
                      <a:ext cx="2457450" cy="2590800"/>
                    </a:xfrm>
                    <a:prstGeom prst="rect">
                      <a:avLst/>
                    </a:prstGeom>
                    <a:noFill/>
                    <a:ln>
                      <a:noFill/>
                    </a:ln>
                  </pic:spPr>
                </pic:pic>
              </a:graphicData>
            </a:graphic>
          </wp:inline>
        </w:drawing>
      </w:r>
    </w:p>
    <w:p w:rsidR="00B4407B" w:rsidRDefault="00900236" w:rsidP="00900236">
      <w:pPr>
        <w:ind w:firstLine="0"/>
        <w:contextualSpacing/>
        <w:mirrorIndents/>
        <w:jc w:val="center"/>
        <w:rPr>
          <w:sz w:val="20"/>
        </w:rPr>
      </w:pPr>
      <w:r>
        <w:rPr>
          <w:sz w:val="20"/>
        </w:rPr>
        <w:t>Fig.</w:t>
      </w:r>
      <w:r w:rsidR="00B4407B" w:rsidRPr="00900236">
        <w:rPr>
          <w:sz w:val="20"/>
        </w:rPr>
        <w:t xml:space="preserve"> </w:t>
      </w:r>
      <w:r w:rsidR="0052675E">
        <w:rPr>
          <w:sz w:val="20"/>
        </w:rPr>
        <w:t>2</w:t>
      </w:r>
      <w:r>
        <w:rPr>
          <w:sz w:val="20"/>
        </w:rPr>
        <w:t>:</w:t>
      </w:r>
      <w:r w:rsidR="00B4407B" w:rsidRPr="00900236">
        <w:rPr>
          <w:sz w:val="20"/>
        </w:rPr>
        <w:t xml:space="preserve"> Shaking table test device</w:t>
      </w:r>
      <w:r>
        <w:rPr>
          <w:sz w:val="20"/>
        </w:rPr>
        <w:t>.</w:t>
      </w:r>
    </w:p>
    <w:p w:rsidR="0033306B" w:rsidRPr="00900236" w:rsidRDefault="0033306B" w:rsidP="00900236">
      <w:pPr>
        <w:ind w:firstLine="0"/>
        <w:contextualSpacing/>
        <w:mirrorIndents/>
        <w:jc w:val="center"/>
        <w:rPr>
          <w:sz w:val="20"/>
        </w:rPr>
      </w:pPr>
    </w:p>
    <w:p w:rsidR="000E68A7" w:rsidRDefault="002976A3" w:rsidP="000E68A7">
      <w:pPr>
        <w:ind w:firstLine="0"/>
        <w:contextualSpacing/>
        <w:mirrorIndents/>
        <w:rPr>
          <w:rFonts w:ascii="Arial" w:hAnsi="Arial" w:cs="Arial"/>
          <w:b/>
          <w:sz w:val="21"/>
          <w:szCs w:val="21"/>
        </w:rPr>
      </w:pPr>
      <w:r w:rsidRPr="00B62A02">
        <w:rPr>
          <w:rFonts w:ascii="Arial" w:hAnsi="Arial" w:cs="Arial"/>
          <w:b/>
          <w:sz w:val="21"/>
          <w:szCs w:val="21"/>
        </w:rPr>
        <w:t>2.</w:t>
      </w:r>
      <w:r w:rsidR="000C7419" w:rsidRPr="00B62A02">
        <w:rPr>
          <w:rFonts w:ascii="Arial" w:hAnsi="Arial" w:cs="Arial"/>
          <w:b/>
          <w:sz w:val="21"/>
          <w:szCs w:val="21"/>
        </w:rPr>
        <w:t xml:space="preserve">3. </w:t>
      </w:r>
      <w:r w:rsidR="000E68A7" w:rsidRPr="000E68A7">
        <w:rPr>
          <w:rFonts w:ascii="Arial" w:hAnsi="Arial" w:cs="Arial"/>
          <w:b/>
          <w:sz w:val="21"/>
          <w:szCs w:val="21"/>
        </w:rPr>
        <w:t>Test Procedure</w:t>
      </w:r>
    </w:p>
    <w:p w:rsidR="00B4407B" w:rsidRPr="00B4407B" w:rsidRDefault="003E03F6" w:rsidP="00B4407B">
      <w:pPr>
        <w:contextualSpacing/>
        <w:mirrorIndents/>
        <w:rPr>
          <w:sz w:val="22"/>
          <w:szCs w:val="22"/>
        </w:rPr>
      </w:pPr>
      <w:r>
        <w:rPr>
          <w:sz w:val="22"/>
          <w:szCs w:val="22"/>
        </w:rPr>
        <w:t>A</w:t>
      </w:r>
      <w:r w:rsidR="00B4407B" w:rsidRPr="00B4407B">
        <w:rPr>
          <w:sz w:val="22"/>
          <w:szCs w:val="22"/>
        </w:rPr>
        <w:t xml:space="preserve"> test program is prepared</w:t>
      </w:r>
      <w:r w:rsidR="00747C3D">
        <w:rPr>
          <w:sz w:val="22"/>
          <w:szCs w:val="22"/>
        </w:rPr>
        <w:t>.</w:t>
      </w:r>
      <w:r w:rsidR="00B4407B" w:rsidRPr="00B4407B">
        <w:rPr>
          <w:sz w:val="22"/>
          <w:szCs w:val="22"/>
        </w:rPr>
        <w:t xml:space="preserve"> </w:t>
      </w:r>
      <w:r w:rsidR="009F5635">
        <w:rPr>
          <w:sz w:val="22"/>
          <w:szCs w:val="22"/>
        </w:rPr>
        <w:t xml:space="preserve">Different acceleration and cycle is applied. </w:t>
      </w:r>
      <w:r w:rsidR="00B4407B" w:rsidRPr="00B4407B">
        <w:rPr>
          <w:sz w:val="22"/>
          <w:szCs w:val="22"/>
        </w:rPr>
        <w:t>Soils were put to the shaking table box</w:t>
      </w:r>
      <w:r w:rsidR="00637145">
        <w:rPr>
          <w:sz w:val="22"/>
          <w:szCs w:val="22"/>
        </w:rPr>
        <w:t xml:space="preserve"> without compaction.</w:t>
      </w:r>
      <w:r w:rsidR="00B4407B" w:rsidRPr="00B4407B">
        <w:rPr>
          <w:sz w:val="22"/>
          <w:szCs w:val="22"/>
        </w:rPr>
        <w:t xml:space="preserve"> Ground water level is generally high (about at -3.00-meter depth) at Eskisehir so all soil profiles are considered </w:t>
      </w:r>
      <w:r w:rsidR="00B4407B" w:rsidRPr="00B4407B">
        <w:rPr>
          <w:sz w:val="22"/>
          <w:szCs w:val="22"/>
        </w:rPr>
        <w:lastRenderedPageBreak/>
        <w:t xml:space="preserve">fully saturated in the models. A vertical stress of 50 kPa was applied to the surface of the soil by using a rigid mass.  </w:t>
      </w:r>
      <w:r w:rsidR="00747C3D" w:rsidRPr="00B4407B">
        <w:rPr>
          <w:sz w:val="22"/>
          <w:szCs w:val="22"/>
        </w:rPr>
        <w:t>Test program is given in Table 2.</w:t>
      </w:r>
    </w:p>
    <w:p w:rsidR="00EC27DC" w:rsidRPr="00FD29E8" w:rsidRDefault="00EC27DC" w:rsidP="00754C7B">
      <w:pPr>
        <w:ind w:firstLine="0"/>
        <w:contextualSpacing/>
        <w:mirrorIndents/>
        <w:jc w:val="center"/>
        <w:rPr>
          <w:sz w:val="20"/>
        </w:rPr>
      </w:pPr>
      <w:r w:rsidRPr="00FD29E8">
        <w:rPr>
          <w:sz w:val="20"/>
        </w:rPr>
        <w:t>Table</w:t>
      </w:r>
      <w:r w:rsidR="0052675E">
        <w:rPr>
          <w:sz w:val="20"/>
        </w:rPr>
        <w:t xml:space="preserve"> 2</w:t>
      </w:r>
      <w:r w:rsidR="00754C7B" w:rsidRPr="00FD29E8">
        <w:rPr>
          <w:sz w:val="20"/>
        </w:rPr>
        <w:t>:</w:t>
      </w:r>
      <w:r w:rsidRPr="00FD29E8">
        <w:rPr>
          <w:sz w:val="20"/>
        </w:rPr>
        <w:t xml:space="preserve"> Test program</w:t>
      </w:r>
      <w:r w:rsidR="00754C7B" w:rsidRPr="00FD29E8">
        <w:rPr>
          <w:sz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9"/>
        <w:gridCol w:w="1839"/>
        <w:gridCol w:w="1801"/>
      </w:tblGrid>
      <w:tr w:rsidR="00E56878" w:rsidRPr="00FD29E8" w:rsidTr="00E01C24">
        <w:trPr>
          <w:trHeight w:val="486"/>
          <w:jc w:val="center"/>
        </w:trPr>
        <w:tc>
          <w:tcPr>
            <w:tcW w:w="1839" w:type="dxa"/>
            <w:vAlign w:val="center"/>
          </w:tcPr>
          <w:p w:rsidR="00E56878" w:rsidRPr="00FD29E8" w:rsidRDefault="00E56878" w:rsidP="009C3F09">
            <w:pPr>
              <w:ind w:firstLine="0"/>
              <w:jc w:val="center"/>
              <w:rPr>
                <w:sz w:val="20"/>
              </w:rPr>
            </w:pPr>
            <w:r w:rsidRPr="00FD29E8">
              <w:rPr>
                <w:sz w:val="20"/>
              </w:rPr>
              <w:t>Test No</w:t>
            </w:r>
          </w:p>
        </w:tc>
        <w:tc>
          <w:tcPr>
            <w:tcW w:w="1839" w:type="dxa"/>
            <w:vAlign w:val="center"/>
          </w:tcPr>
          <w:p w:rsidR="00E56878" w:rsidRPr="00FD29E8" w:rsidRDefault="00E56878" w:rsidP="009C3F09">
            <w:pPr>
              <w:ind w:firstLine="0"/>
              <w:jc w:val="center"/>
              <w:rPr>
                <w:sz w:val="20"/>
              </w:rPr>
            </w:pPr>
            <w:r w:rsidRPr="00FD29E8">
              <w:rPr>
                <w:sz w:val="20"/>
              </w:rPr>
              <w:t>a (m/s</w:t>
            </w:r>
            <w:r w:rsidRPr="00FD29E8">
              <w:rPr>
                <w:sz w:val="20"/>
                <w:vertAlign w:val="superscript"/>
              </w:rPr>
              <w:t>2</w:t>
            </w:r>
            <w:r w:rsidRPr="00FD29E8">
              <w:rPr>
                <w:sz w:val="20"/>
              </w:rPr>
              <w:t>)</w:t>
            </w:r>
          </w:p>
        </w:tc>
        <w:tc>
          <w:tcPr>
            <w:tcW w:w="1801" w:type="dxa"/>
            <w:vAlign w:val="center"/>
          </w:tcPr>
          <w:p w:rsidR="00E56878" w:rsidRPr="00FD29E8" w:rsidRDefault="00E56878" w:rsidP="009C3F09">
            <w:pPr>
              <w:ind w:firstLine="0"/>
              <w:jc w:val="center"/>
              <w:rPr>
                <w:sz w:val="20"/>
              </w:rPr>
            </w:pPr>
            <w:r w:rsidRPr="00FD29E8">
              <w:rPr>
                <w:sz w:val="20"/>
              </w:rPr>
              <w:t>N (cycle)</w:t>
            </w:r>
          </w:p>
        </w:tc>
      </w:tr>
      <w:tr w:rsidR="00E56878" w:rsidRPr="00FD29E8" w:rsidTr="00E01C24">
        <w:trPr>
          <w:trHeight w:val="486"/>
          <w:jc w:val="center"/>
        </w:trPr>
        <w:tc>
          <w:tcPr>
            <w:tcW w:w="1839" w:type="dxa"/>
            <w:vAlign w:val="center"/>
          </w:tcPr>
          <w:p w:rsidR="00E56878" w:rsidRPr="00FD29E8" w:rsidRDefault="00E56878" w:rsidP="009C3F09">
            <w:pPr>
              <w:ind w:firstLine="0"/>
              <w:jc w:val="center"/>
              <w:rPr>
                <w:sz w:val="20"/>
              </w:rPr>
            </w:pPr>
            <w:r w:rsidRPr="00FD29E8">
              <w:rPr>
                <w:sz w:val="20"/>
              </w:rPr>
              <w:t>1</w:t>
            </w:r>
          </w:p>
        </w:tc>
        <w:tc>
          <w:tcPr>
            <w:tcW w:w="1839" w:type="dxa"/>
            <w:vAlign w:val="center"/>
          </w:tcPr>
          <w:p w:rsidR="00E56878" w:rsidRPr="00FD29E8" w:rsidRDefault="00E56878" w:rsidP="009C3F09">
            <w:pPr>
              <w:ind w:firstLine="0"/>
              <w:jc w:val="center"/>
              <w:rPr>
                <w:sz w:val="20"/>
              </w:rPr>
            </w:pPr>
            <w:r w:rsidRPr="00FD29E8">
              <w:rPr>
                <w:sz w:val="20"/>
              </w:rPr>
              <w:t>0.10</w:t>
            </w:r>
          </w:p>
        </w:tc>
        <w:tc>
          <w:tcPr>
            <w:tcW w:w="1801" w:type="dxa"/>
            <w:vAlign w:val="center"/>
          </w:tcPr>
          <w:p w:rsidR="00E56878" w:rsidRPr="00FD29E8" w:rsidRDefault="000E68EB" w:rsidP="009C3F09">
            <w:pPr>
              <w:ind w:firstLine="0"/>
              <w:jc w:val="center"/>
              <w:rPr>
                <w:sz w:val="20"/>
              </w:rPr>
            </w:pPr>
            <w:r>
              <w:rPr>
                <w:sz w:val="20"/>
              </w:rPr>
              <w:t>5</w:t>
            </w:r>
          </w:p>
        </w:tc>
      </w:tr>
      <w:tr w:rsidR="00E56878" w:rsidRPr="00FD29E8" w:rsidTr="00E01C24">
        <w:trPr>
          <w:trHeight w:val="514"/>
          <w:jc w:val="center"/>
        </w:trPr>
        <w:tc>
          <w:tcPr>
            <w:tcW w:w="1839" w:type="dxa"/>
            <w:vAlign w:val="center"/>
          </w:tcPr>
          <w:p w:rsidR="00E56878" w:rsidRPr="00FD29E8" w:rsidRDefault="000E68EB" w:rsidP="009C3F09">
            <w:pPr>
              <w:ind w:firstLine="0"/>
              <w:jc w:val="center"/>
              <w:rPr>
                <w:sz w:val="20"/>
              </w:rPr>
            </w:pPr>
            <w:r>
              <w:rPr>
                <w:sz w:val="20"/>
              </w:rPr>
              <w:t>2</w:t>
            </w:r>
          </w:p>
        </w:tc>
        <w:tc>
          <w:tcPr>
            <w:tcW w:w="1839" w:type="dxa"/>
            <w:vAlign w:val="center"/>
          </w:tcPr>
          <w:p w:rsidR="00E56878" w:rsidRPr="00FD29E8" w:rsidRDefault="00E56878" w:rsidP="009C3F09">
            <w:pPr>
              <w:ind w:firstLine="0"/>
              <w:jc w:val="center"/>
              <w:rPr>
                <w:sz w:val="20"/>
              </w:rPr>
            </w:pPr>
            <w:r w:rsidRPr="00FD29E8">
              <w:rPr>
                <w:sz w:val="20"/>
              </w:rPr>
              <w:t>0.30</w:t>
            </w:r>
          </w:p>
        </w:tc>
        <w:tc>
          <w:tcPr>
            <w:tcW w:w="1801" w:type="dxa"/>
            <w:vAlign w:val="center"/>
          </w:tcPr>
          <w:p w:rsidR="00E56878" w:rsidRPr="00FD29E8" w:rsidRDefault="000E68EB" w:rsidP="009C3F09">
            <w:pPr>
              <w:ind w:firstLine="0"/>
              <w:jc w:val="center"/>
              <w:rPr>
                <w:sz w:val="20"/>
              </w:rPr>
            </w:pPr>
            <w:r>
              <w:rPr>
                <w:sz w:val="20"/>
              </w:rPr>
              <w:t>5</w:t>
            </w:r>
          </w:p>
        </w:tc>
      </w:tr>
      <w:tr w:rsidR="00E56878" w:rsidRPr="00FD29E8" w:rsidTr="00E01C24">
        <w:trPr>
          <w:trHeight w:val="486"/>
          <w:jc w:val="center"/>
        </w:trPr>
        <w:tc>
          <w:tcPr>
            <w:tcW w:w="1839" w:type="dxa"/>
            <w:vAlign w:val="center"/>
          </w:tcPr>
          <w:p w:rsidR="00E56878" w:rsidRPr="00FD29E8" w:rsidRDefault="00E56878" w:rsidP="009C3F09">
            <w:pPr>
              <w:ind w:firstLine="0"/>
              <w:jc w:val="center"/>
              <w:rPr>
                <w:sz w:val="20"/>
              </w:rPr>
            </w:pPr>
            <w:r w:rsidRPr="00FD29E8">
              <w:rPr>
                <w:sz w:val="20"/>
              </w:rPr>
              <w:t>3</w:t>
            </w:r>
          </w:p>
        </w:tc>
        <w:tc>
          <w:tcPr>
            <w:tcW w:w="1839" w:type="dxa"/>
            <w:vAlign w:val="center"/>
          </w:tcPr>
          <w:p w:rsidR="00E56878" w:rsidRPr="00FD29E8" w:rsidRDefault="00E56878" w:rsidP="009C3F09">
            <w:pPr>
              <w:ind w:firstLine="0"/>
              <w:jc w:val="center"/>
              <w:rPr>
                <w:sz w:val="20"/>
              </w:rPr>
            </w:pPr>
            <w:r w:rsidRPr="00FD29E8">
              <w:rPr>
                <w:sz w:val="20"/>
              </w:rPr>
              <w:t>0.10</w:t>
            </w:r>
          </w:p>
        </w:tc>
        <w:tc>
          <w:tcPr>
            <w:tcW w:w="1801" w:type="dxa"/>
            <w:vAlign w:val="center"/>
          </w:tcPr>
          <w:p w:rsidR="00E56878" w:rsidRPr="00FD29E8" w:rsidRDefault="000E68EB" w:rsidP="009C3F09">
            <w:pPr>
              <w:ind w:firstLine="0"/>
              <w:jc w:val="center"/>
              <w:rPr>
                <w:sz w:val="20"/>
              </w:rPr>
            </w:pPr>
            <w:r>
              <w:rPr>
                <w:sz w:val="20"/>
              </w:rPr>
              <w:t>1</w:t>
            </w:r>
            <w:r w:rsidR="00E628F0">
              <w:rPr>
                <w:sz w:val="20"/>
              </w:rPr>
              <w:t>0</w:t>
            </w:r>
          </w:p>
        </w:tc>
      </w:tr>
      <w:tr w:rsidR="00E56878" w:rsidRPr="00FD29E8" w:rsidTr="00E01C24">
        <w:trPr>
          <w:trHeight w:val="486"/>
          <w:jc w:val="center"/>
        </w:trPr>
        <w:tc>
          <w:tcPr>
            <w:tcW w:w="1839" w:type="dxa"/>
            <w:vAlign w:val="center"/>
          </w:tcPr>
          <w:p w:rsidR="00E56878" w:rsidRPr="00FD29E8" w:rsidRDefault="00E56878" w:rsidP="009C3F09">
            <w:pPr>
              <w:ind w:firstLine="0"/>
              <w:jc w:val="center"/>
              <w:rPr>
                <w:sz w:val="20"/>
              </w:rPr>
            </w:pPr>
            <w:r w:rsidRPr="00FD29E8">
              <w:rPr>
                <w:sz w:val="20"/>
              </w:rPr>
              <w:t>4</w:t>
            </w:r>
          </w:p>
        </w:tc>
        <w:tc>
          <w:tcPr>
            <w:tcW w:w="1839" w:type="dxa"/>
            <w:vAlign w:val="center"/>
          </w:tcPr>
          <w:p w:rsidR="00E56878" w:rsidRPr="00FD29E8" w:rsidRDefault="00E56878" w:rsidP="009C3F09">
            <w:pPr>
              <w:ind w:firstLine="0"/>
              <w:jc w:val="center"/>
              <w:rPr>
                <w:sz w:val="20"/>
              </w:rPr>
            </w:pPr>
            <w:r w:rsidRPr="00FD29E8">
              <w:rPr>
                <w:sz w:val="20"/>
              </w:rPr>
              <w:t>0.30</w:t>
            </w:r>
          </w:p>
        </w:tc>
        <w:tc>
          <w:tcPr>
            <w:tcW w:w="1801" w:type="dxa"/>
            <w:vAlign w:val="center"/>
          </w:tcPr>
          <w:p w:rsidR="00E56878" w:rsidRPr="00FD29E8" w:rsidRDefault="000E68EB" w:rsidP="009C3F09">
            <w:pPr>
              <w:ind w:firstLine="0"/>
              <w:jc w:val="center"/>
              <w:rPr>
                <w:sz w:val="20"/>
              </w:rPr>
            </w:pPr>
            <w:r>
              <w:rPr>
                <w:sz w:val="20"/>
              </w:rPr>
              <w:t>1</w:t>
            </w:r>
            <w:r w:rsidR="009F5635">
              <w:rPr>
                <w:sz w:val="20"/>
              </w:rPr>
              <w:t>0</w:t>
            </w:r>
          </w:p>
        </w:tc>
      </w:tr>
    </w:tbl>
    <w:p w:rsidR="005F5165" w:rsidRPr="005F5165" w:rsidRDefault="00C23DFD" w:rsidP="00C64866">
      <w:pPr>
        <w:ind w:firstLine="0"/>
        <w:contextualSpacing/>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F80AE9" w:rsidRPr="00F80AE9" w:rsidRDefault="002239D7" w:rsidP="00976433">
      <w:pPr>
        <w:ind w:firstLine="0"/>
        <w:contextualSpacing/>
        <w:mirrorIndents/>
        <w:rPr>
          <w:rFonts w:ascii="Arial" w:hAnsi="Arial" w:cs="Arial"/>
          <w:b/>
          <w:szCs w:val="24"/>
        </w:rPr>
      </w:pPr>
      <w:r>
        <w:rPr>
          <w:rFonts w:ascii="Arial" w:hAnsi="Arial" w:cs="Arial"/>
          <w:b/>
          <w:szCs w:val="24"/>
        </w:rPr>
        <w:t xml:space="preserve">3. </w:t>
      </w:r>
      <w:r w:rsidR="000C09CA" w:rsidRPr="000C09CA">
        <w:rPr>
          <w:rFonts w:ascii="Arial" w:hAnsi="Arial" w:cs="Arial"/>
          <w:b/>
          <w:szCs w:val="24"/>
        </w:rPr>
        <w:t>Results</w:t>
      </w:r>
    </w:p>
    <w:p w:rsidR="006427BD" w:rsidRPr="00EC27DC" w:rsidRDefault="00EC27DC" w:rsidP="006427BD">
      <w:pPr>
        <w:ind w:firstLine="397"/>
        <w:contextualSpacing/>
        <w:mirrorIndents/>
        <w:rPr>
          <w:sz w:val="22"/>
          <w:szCs w:val="22"/>
        </w:rPr>
      </w:pPr>
      <w:r w:rsidRPr="00EC27DC">
        <w:rPr>
          <w:sz w:val="22"/>
          <w:szCs w:val="22"/>
        </w:rPr>
        <w:t xml:space="preserve">Liquefaction tests were performed and the results are given in Table 3. </w:t>
      </w:r>
      <w:r w:rsidR="006427BD" w:rsidRPr="00EC27DC">
        <w:rPr>
          <w:sz w:val="22"/>
          <w:szCs w:val="22"/>
        </w:rPr>
        <w:t xml:space="preserve">Results show that excess pore water generation </w:t>
      </w:r>
      <w:r w:rsidR="006072FC">
        <w:rPr>
          <w:sz w:val="22"/>
          <w:szCs w:val="22"/>
        </w:rPr>
        <w:t xml:space="preserve">did not </w:t>
      </w:r>
      <w:r w:rsidR="006427BD" w:rsidRPr="00EC27DC">
        <w:rPr>
          <w:sz w:val="22"/>
          <w:szCs w:val="22"/>
        </w:rPr>
        <w:t xml:space="preserve">occur with the dynamic loading. </w:t>
      </w:r>
      <w:r w:rsidR="006072FC">
        <w:rPr>
          <w:sz w:val="22"/>
          <w:szCs w:val="22"/>
        </w:rPr>
        <w:t>But, d</w:t>
      </w:r>
      <w:r w:rsidR="006427BD" w:rsidRPr="00EC27DC">
        <w:rPr>
          <w:sz w:val="22"/>
          <w:szCs w:val="22"/>
        </w:rPr>
        <w:t>ifferent settle</w:t>
      </w:r>
      <w:r w:rsidR="006072FC">
        <w:rPr>
          <w:sz w:val="22"/>
          <w:szCs w:val="22"/>
        </w:rPr>
        <w:t>ment amounts were observed. Cohesiv</w:t>
      </w:r>
      <w:r w:rsidR="006427BD" w:rsidRPr="00EC27DC">
        <w:rPr>
          <w:sz w:val="22"/>
          <w:szCs w:val="22"/>
        </w:rPr>
        <w:t>e soils</w:t>
      </w:r>
      <w:r w:rsidR="006072FC">
        <w:rPr>
          <w:sz w:val="22"/>
          <w:szCs w:val="22"/>
        </w:rPr>
        <w:t xml:space="preserve"> do not</w:t>
      </w:r>
      <w:r w:rsidR="006427BD" w:rsidRPr="00EC27DC">
        <w:rPr>
          <w:sz w:val="22"/>
          <w:szCs w:val="22"/>
        </w:rPr>
        <w:t xml:space="preserve"> let the water upward movement </w:t>
      </w:r>
      <w:r w:rsidR="006072FC">
        <w:rPr>
          <w:sz w:val="22"/>
          <w:szCs w:val="22"/>
        </w:rPr>
        <w:t xml:space="preserve">so </w:t>
      </w:r>
      <w:r w:rsidR="006072FC" w:rsidRPr="00EC27DC">
        <w:rPr>
          <w:sz w:val="22"/>
          <w:szCs w:val="22"/>
        </w:rPr>
        <w:t xml:space="preserve">excess pore water generation </w:t>
      </w:r>
      <w:r w:rsidR="006072FC">
        <w:rPr>
          <w:sz w:val="22"/>
          <w:szCs w:val="22"/>
        </w:rPr>
        <w:t xml:space="preserve">do not exit. On the other </w:t>
      </w:r>
      <w:r w:rsidR="001C2C76">
        <w:rPr>
          <w:sz w:val="22"/>
          <w:szCs w:val="22"/>
        </w:rPr>
        <w:t>hand,</w:t>
      </w:r>
      <w:r w:rsidR="006072FC">
        <w:rPr>
          <w:sz w:val="22"/>
          <w:szCs w:val="22"/>
        </w:rPr>
        <w:t xml:space="preserve"> cohesive soil </w:t>
      </w:r>
      <w:r w:rsidR="001C2C76">
        <w:rPr>
          <w:sz w:val="22"/>
          <w:szCs w:val="22"/>
        </w:rPr>
        <w:t>show</w:t>
      </w:r>
      <w:r w:rsidR="006072FC">
        <w:rPr>
          <w:sz w:val="22"/>
          <w:szCs w:val="22"/>
        </w:rPr>
        <w:t xml:space="preserve"> softening with the dynamic loading and </w:t>
      </w:r>
      <w:r w:rsidR="006427BD" w:rsidRPr="00EC27DC">
        <w:rPr>
          <w:sz w:val="22"/>
          <w:szCs w:val="22"/>
        </w:rPr>
        <w:t xml:space="preserve">soil grains are settled due to the applied vertical stress. Especially amount of </w:t>
      </w:r>
      <w:r w:rsidR="0045608A">
        <w:rPr>
          <w:sz w:val="22"/>
          <w:szCs w:val="22"/>
        </w:rPr>
        <w:t>settlement increases with</w:t>
      </w:r>
      <w:r w:rsidR="006427BD" w:rsidRPr="00EC27DC">
        <w:rPr>
          <w:sz w:val="22"/>
          <w:szCs w:val="22"/>
        </w:rPr>
        <w:t xml:space="preserve"> </w:t>
      </w:r>
      <w:r w:rsidR="0045608A">
        <w:rPr>
          <w:sz w:val="22"/>
          <w:szCs w:val="22"/>
        </w:rPr>
        <w:t>number of cycle</w:t>
      </w:r>
      <w:r w:rsidR="006427BD" w:rsidRPr="00EC27DC">
        <w:rPr>
          <w:sz w:val="22"/>
          <w:szCs w:val="22"/>
        </w:rPr>
        <w:t xml:space="preserve"> and acceleration. </w:t>
      </w:r>
    </w:p>
    <w:p w:rsidR="006427BD" w:rsidRDefault="006427BD" w:rsidP="00EC27DC">
      <w:pPr>
        <w:ind w:firstLine="397"/>
        <w:contextualSpacing/>
        <w:mirrorIndents/>
      </w:pPr>
    </w:p>
    <w:p w:rsidR="00EC27DC" w:rsidRPr="00A4600A" w:rsidRDefault="00EC27DC" w:rsidP="00AF2DD7">
      <w:pPr>
        <w:ind w:firstLine="0"/>
        <w:contextualSpacing/>
        <w:mirrorIndents/>
        <w:jc w:val="center"/>
        <w:rPr>
          <w:sz w:val="20"/>
        </w:rPr>
      </w:pPr>
      <w:r w:rsidRPr="00A4600A">
        <w:rPr>
          <w:sz w:val="20"/>
        </w:rPr>
        <w:t>Table</w:t>
      </w:r>
      <w:r w:rsidR="0052675E">
        <w:rPr>
          <w:sz w:val="20"/>
        </w:rPr>
        <w:t xml:space="preserve"> 3</w:t>
      </w:r>
      <w:r w:rsidR="00AF2DD7" w:rsidRPr="00A4600A">
        <w:rPr>
          <w:sz w:val="20"/>
        </w:rPr>
        <w:t>:</w:t>
      </w:r>
      <w:r w:rsidRPr="00A4600A">
        <w:rPr>
          <w:sz w:val="20"/>
        </w:rPr>
        <w:t xml:space="preserve"> Test results</w:t>
      </w:r>
      <w:r w:rsidR="00AF2DD7" w:rsidRPr="00A4600A">
        <w:rPr>
          <w:sz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4994"/>
      </w:tblGrid>
      <w:tr w:rsidR="00EC27DC" w:rsidRPr="00A4600A" w:rsidTr="00AF2DD7">
        <w:trPr>
          <w:trHeight w:val="477"/>
          <w:jc w:val="center"/>
        </w:trPr>
        <w:tc>
          <w:tcPr>
            <w:tcW w:w="2028" w:type="dxa"/>
            <w:vAlign w:val="center"/>
          </w:tcPr>
          <w:p w:rsidR="00EC27DC" w:rsidRPr="00A4600A" w:rsidRDefault="00EC27DC" w:rsidP="00AF2DD7">
            <w:pPr>
              <w:ind w:firstLine="0"/>
              <w:jc w:val="center"/>
              <w:rPr>
                <w:sz w:val="20"/>
              </w:rPr>
            </w:pPr>
            <w:r w:rsidRPr="00A4600A">
              <w:rPr>
                <w:sz w:val="20"/>
              </w:rPr>
              <w:t>Test No</w:t>
            </w:r>
          </w:p>
        </w:tc>
        <w:tc>
          <w:tcPr>
            <w:tcW w:w="4994" w:type="dxa"/>
            <w:vAlign w:val="center"/>
          </w:tcPr>
          <w:p w:rsidR="00EC27DC" w:rsidRPr="00A4600A" w:rsidRDefault="006D6D98" w:rsidP="00AF2DD7">
            <w:pPr>
              <w:ind w:firstLine="0"/>
              <w:jc w:val="center"/>
              <w:rPr>
                <w:sz w:val="20"/>
              </w:rPr>
            </w:pPr>
            <w:r>
              <w:rPr>
                <w:sz w:val="20"/>
              </w:rPr>
              <w:t>Result</w:t>
            </w:r>
          </w:p>
        </w:tc>
      </w:tr>
      <w:tr w:rsidR="00EC27DC" w:rsidRPr="00A4600A" w:rsidTr="00AF2DD7">
        <w:trPr>
          <w:trHeight w:val="477"/>
          <w:jc w:val="center"/>
        </w:trPr>
        <w:tc>
          <w:tcPr>
            <w:tcW w:w="2028" w:type="dxa"/>
            <w:vAlign w:val="center"/>
          </w:tcPr>
          <w:p w:rsidR="00EC27DC" w:rsidRPr="00A4600A" w:rsidRDefault="00EC27DC" w:rsidP="00AF2DD7">
            <w:pPr>
              <w:ind w:firstLine="0"/>
              <w:jc w:val="center"/>
              <w:rPr>
                <w:sz w:val="20"/>
              </w:rPr>
            </w:pPr>
            <w:r w:rsidRPr="00A4600A">
              <w:rPr>
                <w:sz w:val="20"/>
              </w:rPr>
              <w:t>1</w:t>
            </w:r>
          </w:p>
        </w:tc>
        <w:tc>
          <w:tcPr>
            <w:tcW w:w="4994" w:type="dxa"/>
            <w:vAlign w:val="center"/>
          </w:tcPr>
          <w:p w:rsidR="00EC27DC" w:rsidRPr="00A4600A" w:rsidRDefault="004F4CF6" w:rsidP="004F4CF6">
            <w:pPr>
              <w:ind w:firstLine="0"/>
              <w:jc w:val="center"/>
              <w:rPr>
                <w:sz w:val="20"/>
              </w:rPr>
            </w:pPr>
            <w:r>
              <w:rPr>
                <w:sz w:val="20"/>
              </w:rPr>
              <w:t>No pore water generation</w:t>
            </w:r>
            <w:r w:rsidR="00EC27DC" w:rsidRPr="00A4600A">
              <w:rPr>
                <w:sz w:val="20"/>
              </w:rPr>
              <w:t xml:space="preserve"> with 0,75 cm settlement</w:t>
            </w:r>
          </w:p>
        </w:tc>
      </w:tr>
      <w:tr w:rsidR="00EC27DC" w:rsidRPr="00A4600A" w:rsidTr="00AF2DD7">
        <w:trPr>
          <w:trHeight w:val="504"/>
          <w:jc w:val="center"/>
        </w:trPr>
        <w:tc>
          <w:tcPr>
            <w:tcW w:w="2028" w:type="dxa"/>
            <w:vAlign w:val="center"/>
          </w:tcPr>
          <w:p w:rsidR="00EC27DC" w:rsidRPr="00A4600A" w:rsidRDefault="00EC27DC" w:rsidP="00AF2DD7">
            <w:pPr>
              <w:ind w:firstLine="0"/>
              <w:jc w:val="center"/>
              <w:rPr>
                <w:sz w:val="20"/>
              </w:rPr>
            </w:pPr>
            <w:r w:rsidRPr="00A4600A">
              <w:rPr>
                <w:sz w:val="20"/>
              </w:rPr>
              <w:t>2</w:t>
            </w:r>
          </w:p>
        </w:tc>
        <w:tc>
          <w:tcPr>
            <w:tcW w:w="4994" w:type="dxa"/>
            <w:vAlign w:val="center"/>
          </w:tcPr>
          <w:p w:rsidR="00EC27DC" w:rsidRPr="00A4600A" w:rsidRDefault="004F4CF6" w:rsidP="00AF2DD7">
            <w:pPr>
              <w:ind w:firstLine="0"/>
              <w:jc w:val="center"/>
              <w:rPr>
                <w:sz w:val="20"/>
              </w:rPr>
            </w:pPr>
            <w:r>
              <w:rPr>
                <w:sz w:val="20"/>
              </w:rPr>
              <w:t>No pore water generation</w:t>
            </w:r>
            <w:r w:rsidRPr="00A4600A">
              <w:rPr>
                <w:sz w:val="20"/>
              </w:rPr>
              <w:t xml:space="preserve"> </w:t>
            </w:r>
            <w:r w:rsidR="00686081">
              <w:rPr>
                <w:sz w:val="20"/>
              </w:rPr>
              <w:t>with 1</w:t>
            </w:r>
            <w:r w:rsidRPr="00A4600A">
              <w:rPr>
                <w:sz w:val="20"/>
              </w:rPr>
              <w:t>,</w:t>
            </w:r>
            <w:r w:rsidR="00686081">
              <w:rPr>
                <w:sz w:val="20"/>
              </w:rPr>
              <w:t>8</w:t>
            </w:r>
            <w:r w:rsidRPr="00A4600A">
              <w:rPr>
                <w:sz w:val="20"/>
              </w:rPr>
              <w:t>5 cm settlement</w:t>
            </w:r>
          </w:p>
        </w:tc>
      </w:tr>
      <w:tr w:rsidR="00EC27DC" w:rsidRPr="00A4600A" w:rsidTr="00AF2DD7">
        <w:trPr>
          <w:trHeight w:val="477"/>
          <w:jc w:val="center"/>
        </w:trPr>
        <w:tc>
          <w:tcPr>
            <w:tcW w:w="2028" w:type="dxa"/>
            <w:vAlign w:val="center"/>
          </w:tcPr>
          <w:p w:rsidR="00EC27DC" w:rsidRPr="00A4600A" w:rsidRDefault="00EC27DC" w:rsidP="00AF2DD7">
            <w:pPr>
              <w:ind w:firstLine="0"/>
              <w:jc w:val="center"/>
              <w:rPr>
                <w:sz w:val="20"/>
              </w:rPr>
            </w:pPr>
            <w:r w:rsidRPr="00A4600A">
              <w:rPr>
                <w:sz w:val="20"/>
              </w:rPr>
              <w:t>3</w:t>
            </w:r>
          </w:p>
        </w:tc>
        <w:tc>
          <w:tcPr>
            <w:tcW w:w="4994" w:type="dxa"/>
            <w:vAlign w:val="center"/>
          </w:tcPr>
          <w:p w:rsidR="00EC27DC" w:rsidRPr="00A4600A" w:rsidRDefault="004F4CF6" w:rsidP="00AF2DD7">
            <w:pPr>
              <w:ind w:firstLine="0"/>
              <w:jc w:val="center"/>
              <w:rPr>
                <w:sz w:val="20"/>
              </w:rPr>
            </w:pPr>
            <w:r>
              <w:rPr>
                <w:sz w:val="20"/>
              </w:rPr>
              <w:t>No pore water generation</w:t>
            </w:r>
            <w:r w:rsidRPr="00A4600A">
              <w:rPr>
                <w:sz w:val="20"/>
              </w:rPr>
              <w:t xml:space="preserve"> </w:t>
            </w:r>
            <w:r w:rsidR="00744F96">
              <w:rPr>
                <w:sz w:val="20"/>
              </w:rPr>
              <w:t>with 0,9</w:t>
            </w:r>
            <w:r w:rsidRPr="00A4600A">
              <w:rPr>
                <w:sz w:val="20"/>
              </w:rPr>
              <w:t>5 cm settlement</w:t>
            </w:r>
          </w:p>
        </w:tc>
      </w:tr>
      <w:tr w:rsidR="00EC27DC" w:rsidRPr="00A4600A" w:rsidTr="00AF2DD7">
        <w:trPr>
          <w:trHeight w:val="477"/>
          <w:jc w:val="center"/>
        </w:trPr>
        <w:tc>
          <w:tcPr>
            <w:tcW w:w="2028" w:type="dxa"/>
            <w:vAlign w:val="center"/>
          </w:tcPr>
          <w:p w:rsidR="00EC27DC" w:rsidRPr="00A4600A" w:rsidRDefault="00EC27DC" w:rsidP="00AF2DD7">
            <w:pPr>
              <w:ind w:firstLine="0"/>
              <w:jc w:val="center"/>
              <w:rPr>
                <w:sz w:val="20"/>
              </w:rPr>
            </w:pPr>
            <w:r w:rsidRPr="00A4600A">
              <w:rPr>
                <w:sz w:val="20"/>
              </w:rPr>
              <w:t>4</w:t>
            </w:r>
          </w:p>
        </w:tc>
        <w:tc>
          <w:tcPr>
            <w:tcW w:w="4994" w:type="dxa"/>
            <w:vAlign w:val="center"/>
          </w:tcPr>
          <w:p w:rsidR="00EC27DC" w:rsidRPr="00A4600A" w:rsidRDefault="004F4CF6" w:rsidP="00AF2DD7">
            <w:pPr>
              <w:ind w:firstLine="0"/>
              <w:jc w:val="center"/>
              <w:rPr>
                <w:sz w:val="20"/>
              </w:rPr>
            </w:pPr>
            <w:r>
              <w:rPr>
                <w:sz w:val="20"/>
              </w:rPr>
              <w:t>No pore water generation</w:t>
            </w:r>
            <w:r w:rsidRPr="00A4600A">
              <w:rPr>
                <w:sz w:val="20"/>
              </w:rPr>
              <w:t xml:space="preserve"> </w:t>
            </w:r>
            <w:r w:rsidR="00CA61AF">
              <w:rPr>
                <w:sz w:val="20"/>
              </w:rPr>
              <w:t>with 2,2</w:t>
            </w:r>
            <w:r w:rsidRPr="00A4600A">
              <w:rPr>
                <w:sz w:val="20"/>
              </w:rPr>
              <w:t>5 cm settlement</w:t>
            </w:r>
          </w:p>
        </w:tc>
      </w:tr>
    </w:tbl>
    <w:p w:rsidR="00A46E0E" w:rsidRDefault="00A46E0E" w:rsidP="00EC27DC">
      <w:pPr>
        <w:ind w:firstLine="397"/>
        <w:contextualSpacing/>
        <w:mirrorIndents/>
        <w:rPr>
          <w:sz w:val="22"/>
          <w:szCs w:val="22"/>
        </w:rPr>
      </w:pPr>
    </w:p>
    <w:p w:rsidR="002C5633" w:rsidRPr="002C5633" w:rsidRDefault="00F80AE9" w:rsidP="00976433">
      <w:pPr>
        <w:ind w:firstLine="0"/>
        <w:contextualSpacing/>
        <w:mirrorIndents/>
        <w:rPr>
          <w:rFonts w:ascii="Arial" w:hAnsi="Arial" w:cs="Arial"/>
          <w:b/>
          <w:szCs w:val="24"/>
        </w:rPr>
      </w:pPr>
      <w:r>
        <w:rPr>
          <w:rFonts w:ascii="Arial" w:hAnsi="Arial" w:cs="Arial"/>
          <w:b/>
          <w:szCs w:val="24"/>
        </w:rPr>
        <w:t>4</w:t>
      </w:r>
      <w:r w:rsidR="002C5633">
        <w:rPr>
          <w:rFonts w:ascii="Arial" w:hAnsi="Arial" w:cs="Arial"/>
          <w:b/>
          <w:szCs w:val="24"/>
        </w:rPr>
        <w:t>. C</w:t>
      </w:r>
      <w:r w:rsidR="002C5633" w:rsidRPr="002C5633">
        <w:rPr>
          <w:rFonts w:ascii="Arial" w:hAnsi="Arial" w:cs="Arial"/>
          <w:b/>
          <w:szCs w:val="24"/>
        </w:rPr>
        <w:t>onclusion</w:t>
      </w:r>
    </w:p>
    <w:p w:rsidR="002C5633" w:rsidRDefault="0097686F" w:rsidP="006D0AE6">
      <w:pPr>
        <w:ind w:firstLine="397"/>
        <w:contextualSpacing/>
        <w:mirrorIndents/>
        <w:rPr>
          <w:sz w:val="22"/>
          <w:szCs w:val="22"/>
        </w:rPr>
      </w:pPr>
      <w:r>
        <w:rPr>
          <w:sz w:val="22"/>
          <w:szCs w:val="22"/>
        </w:rPr>
        <w:t>Liquefaction is one of the</w:t>
      </w:r>
      <w:r w:rsidR="007D0F45" w:rsidRPr="007D0F45">
        <w:rPr>
          <w:sz w:val="22"/>
          <w:szCs w:val="22"/>
        </w:rPr>
        <w:t xml:space="preserve"> </w:t>
      </w:r>
      <w:r>
        <w:rPr>
          <w:sz w:val="22"/>
          <w:szCs w:val="22"/>
        </w:rPr>
        <w:t>major</w:t>
      </w:r>
      <w:r w:rsidR="007D0F45" w:rsidRPr="007D0F45">
        <w:rPr>
          <w:sz w:val="22"/>
          <w:szCs w:val="22"/>
        </w:rPr>
        <w:t xml:space="preserve"> problem in geotechnical earthquake engineering. Liquefaction potential </w:t>
      </w:r>
      <w:r w:rsidR="00650599" w:rsidRPr="007D0F45">
        <w:rPr>
          <w:sz w:val="22"/>
          <w:szCs w:val="22"/>
        </w:rPr>
        <w:t>must</w:t>
      </w:r>
      <w:r w:rsidR="007D0F45" w:rsidRPr="007D0F45">
        <w:rPr>
          <w:sz w:val="22"/>
          <w:szCs w:val="22"/>
        </w:rPr>
        <w:t xml:space="preserve"> be determined and safe solutions must be developed.</w:t>
      </w:r>
      <w:r w:rsidR="00195133" w:rsidRPr="00195133">
        <w:t xml:space="preserve"> </w:t>
      </w:r>
      <w:r w:rsidR="00195133" w:rsidRPr="00195133">
        <w:rPr>
          <w:sz w:val="22"/>
          <w:szCs w:val="22"/>
        </w:rPr>
        <w:t>Cohesive</w:t>
      </w:r>
      <w:r w:rsidR="00544983">
        <w:rPr>
          <w:sz w:val="22"/>
          <w:szCs w:val="22"/>
        </w:rPr>
        <w:t xml:space="preserve"> soils with high clay amount do not let</w:t>
      </w:r>
      <w:r w:rsidR="00195133" w:rsidRPr="00195133">
        <w:rPr>
          <w:sz w:val="22"/>
          <w:szCs w:val="22"/>
        </w:rPr>
        <w:t xml:space="preserve"> excessive pore water pressure, therefore liquefaction is not </w:t>
      </w:r>
      <w:r w:rsidR="004B17AB">
        <w:rPr>
          <w:sz w:val="22"/>
          <w:szCs w:val="22"/>
        </w:rPr>
        <w:t>occurred</w:t>
      </w:r>
      <w:r w:rsidR="00195133" w:rsidRPr="00195133">
        <w:rPr>
          <w:sz w:val="22"/>
          <w:szCs w:val="22"/>
        </w:rPr>
        <w:t xml:space="preserve"> but settlement and softening can be seen with dynamic loading.</w:t>
      </w:r>
      <w:r w:rsidR="00BF166E" w:rsidRPr="00BF166E">
        <w:rPr>
          <w:sz w:val="22"/>
          <w:szCs w:val="22"/>
        </w:rPr>
        <w:t xml:space="preserve"> </w:t>
      </w:r>
      <w:r w:rsidR="00BF166E">
        <w:rPr>
          <w:sz w:val="22"/>
          <w:szCs w:val="22"/>
        </w:rPr>
        <w:t>L</w:t>
      </w:r>
      <w:r w:rsidR="00BF166E" w:rsidRPr="00EC27DC">
        <w:rPr>
          <w:sz w:val="22"/>
          <w:szCs w:val="22"/>
        </w:rPr>
        <w:t>iquefaction potential should be determined by using much more tests. If the liquefaction potential is determined by different methods, soil improvement must be done. In addition, this study was performed for specific soil properties and dimensions. Size effect of the test set up and scale factor should be considered for the future studies</w:t>
      </w:r>
      <w:r w:rsidR="00BF166E">
        <w:rPr>
          <w:sz w:val="22"/>
          <w:szCs w:val="22"/>
        </w:rPr>
        <w:t>.</w:t>
      </w:r>
    </w:p>
    <w:p w:rsidR="00BF166E" w:rsidRPr="00942EA6" w:rsidRDefault="00BF166E" w:rsidP="006D0AE6">
      <w:pPr>
        <w:ind w:firstLine="397"/>
        <w:contextualSpacing/>
        <w:mirrorIndents/>
        <w:rPr>
          <w:sz w:val="22"/>
          <w:szCs w:val="22"/>
        </w:rPr>
      </w:pPr>
    </w:p>
    <w:p w:rsidR="00F80AE9" w:rsidRPr="00F80AE9" w:rsidRDefault="00F80AE9" w:rsidP="00976433">
      <w:pPr>
        <w:ind w:firstLine="0"/>
        <w:contextualSpacing/>
        <w:mirrorIndents/>
        <w:rPr>
          <w:rFonts w:ascii="Arial" w:hAnsi="Arial" w:cs="Arial"/>
          <w:b/>
          <w:sz w:val="22"/>
          <w:szCs w:val="22"/>
        </w:rPr>
      </w:pPr>
      <w:r w:rsidRPr="00E9781F">
        <w:rPr>
          <w:rFonts w:ascii="Arial" w:hAnsi="Arial" w:cs="Arial"/>
          <w:b/>
          <w:szCs w:val="22"/>
        </w:rPr>
        <w:t>Acknowledgements</w:t>
      </w:r>
    </w:p>
    <w:p w:rsidR="00F80AE9" w:rsidRPr="00942EA6" w:rsidRDefault="00982A50" w:rsidP="006D0AE6">
      <w:pPr>
        <w:ind w:firstLine="397"/>
        <w:contextualSpacing/>
        <w:mirrorIndents/>
        <w:rPr>
          <w:sz w:val="22"/>
          <w:szCs w:val="22"/>
        </w:rPr>
      </w:pPr>
      <w:r w:rsidRPr="00982A50">
        <w:rPr>
          <w:sz w:val="22"/>
          <w:szCs w:val="22"/>
        </w:rPr>
        <w:t>This study was supported by Anadolu University Scientific Research Projects C</w:t>
      </w:r>
      <w:r>
        <w:rPr>
          <w:sz w:val="22"/>
          <w:szCs w:val="22"/>
        </w:rPr>
        <w:t>ommission under the grant no: 1705F331</w:t>
      </w:r>
      <w:r w:rsidRPr="00982A50">
        <w:rPr>
          <w:sz w:val="22"/>
          <w:szCs w:val="22"/>
        </w:rPr>
        <w:t>. Special thanks to Anadolu University Scientific Research Project Presidency.</w:t>
      </w:r>
    </w:p>
    <w:p w:rsidR="00F80AE9" w:rsidRDefault="00F80AE9" w:rsidP="006D0AE6">
      <w:pPr>
        <w:ind w:firstLine="397"/>
        <w:contextualSpacing/>
        <w:mirrorIndents/>
        <w:rPr>
          <w:sz w:val="22"/>
          <w:szCs w:val="22"/>
        </w:rPr>
      </w:pPr>
    </w:p>
    <w:p w:rsidR="00A47C1A" w:rsidRPr="00922520" w:rsidRDefault="00A47C1A" w:rsidP="00976433">
      <w:pPr>
        <w:ind w:firstLine="0"/>
        <w:contextualSpacing/>
        <w:mirrorIndents/>
        <w:rPr>
          <w:rFonts w:ascii="Arial" w:hAnsi="Arial" w:cs="Arial"/>
          <w:b/>
          <w:szCs w:val="24"/>
        </w:rPr>
      </w:pPr>
      <w:r w:rsidRPr="00922520">
        <w:rPr>
          <w:rFonts w:ascii="Arial" w:hAnsi="Arial" w:cs="Arial"/>
          <w:b/>
          <w:szCs w:val="24"/>
        </w:rPr>
        <w:t>References</w:t>
      </w:r>
    </w:p>
    <w:p w:rsidR="00E84A8B" w:rsidRDefault="007D0F45" w:rsidP="007D0F45">
      <w:pPr>
        <w:ind w:left="426" w:hanging="426"/>
        <w:rPr>
          <w:sz w:val="22"/>
          <w:szCs w:val="22"/>
        </w:rPr>
      </w:pPr>
      <w:r>
        <w:rPr>
          <w:sz w:val="22"/>
          <w:szCs w:val="22"/>
        </w:rPr>
        <w:t>[1]</w:t>
      </w:r>
      <w:r w:rsidRPr="007D0F45">
        <w:rPr>
          <w:sz w:val="22"/>
          <w:szCs w:val="22"/>
        </w:rPr>
        <w:tab/>
      </w:r>
      <w:r w:rsidR="009C0D09">
        <w:rPr>
          <w:sz w:val="22"/>
          <w:szCs w:val="22"/>
        </w:rPr>
        <w:t xml:space="preserve">S.L. Kramer, </w:t>
      </w:r>
      <w:r w:rsidR="00E84A8B" w:rsidRPr="009C0D09">
        <w:rPr>
          <w:i/>
          <w:sz w:val="22"/>
          <w:szCs w:val="22"/>
        </w:rPr>
        <w:t xml:space="preserve">Geotechnical </w:t>
      </w:r>
      <w:r w:rsidR="009E1CB6" w:rsidRPr="009C0D09">
        <w:rPr>
          <w:i/>
          <w:sz w:val="22"/>
          <w:szCs w:val="22"/>
        </w:rPr>
        <w:t>earthquake engineering</w:t>
      </w:r>
      <w:r w:rsidR="009E1CB6">
        <w:rPr>
          <w:sz w:val="22"/>
          <w:szCs w:val="22"/>
        </w:rPr>
        <w:t xml:space="preserve">, </w:t>
      </w:r>
      <w:r w:rsidR="009C0D09">
        <w:rPr>
          <w:sz w:val="22"/>
          <w:szCs w:val="22"/>
        </w:rPr>
        <w:t xml:space="preserve">Prentice Hall, </w:t>
      </w:r>
      <w:r w:rsidR="00E84A8B" w:rsidRPr="00E84A8B">
        <w:rPr>
          <w:sz w:val="22"/>
          <w:szCs w:val="22"/>
        </w:rPr>
        <w:t>1996.</w:t>
      </w:r>
    </w:p>
    <w:p w:rsidR="007D0F45" w:rsidRPr="007D0F45" w:rsidRDefault="003340A7" w:rsidP="007D0F45">
      <w:pPr>
        <w:ind w:left="426" w:hanging="426"/>
        <w:rPr>
          <w:sz w:val="22"/>
          <w:szCs w:val="22"/>
        </w:rPr>
      </w:pPr>
      <w:r>
        <w:rPr>
          <w:sz w:val="22"/>
          <w:szCs w:val="22"/>
        </w:rPr>
        <w:lastRenderedPageBreak/>
        <w:t>[2]</w:t>
      </w:r>
      <w:r w:rsidRPr="007D0F45">
        <w:rPr>
          <w:sz w:val="22"/>
          <w:szCs w:val="22"/>
        </w:rPr>
        <w:tab/>
      </w:r>
      <w:r w:rsidR="002B0A34">
        <w:rPr>
          <w:sz w:val="22"/>
          <w:szCs w:val="22"/>
        </w:rPr>
        <w:t>I.B.</w:t>
      </w:r>
      <w:r w:rsidR="002B0A34" w:rsidRPr="007D0F45">
        <w:rPr>
          <w:sz w:val="22"/>
          <w:szCs w:val="22"/>
        </w:rPr>
        <w:t xml:space="preserve"> </w:t>
      </w:r>
      <w:proofErr w:type="spellStart"/>
      <w:r w:rsidR="007D0F45" w:rsidRPr="007D0F45">
        <w:rPr>
          <w:sz w:val="22"/>
          <w:szCs w:val="22"/>
        </w:rPr>
        <w:t>Gratchev</w:t>
      </w:r>
      <w:proofErr w:type="spellEnd"/>
      <w:r w:rsidR="007D0F45" w:rsidRPr="007D0F45">
        <w:rPr>
          <w:sz w:val="22"/>
          <w:szCs w:val="22"/>
        </w:rPr>
        <w:t xml:space="preserve">, </w:t>
      </w:r>
      <w:r w:rsidR="002B0A34">
        <w:rPr>
          <w:sz w:val="22"/>
          <w:szCs w:val="22"/>
        </w:rPr>
        <w:t xml:space="preserve">K. </w:t>
      </w:r>
      <w:proofErr w:type="spellStart"/>
      <w:r w:rsidR="007D0F45" w:rsidRPr="007D0F45">
        <w:rPr>
          <w:sz w:val="22"/>
          <w:szCs w:val="22"/>
        </w:rPr>
        <w:t>Sassa</w:t>
      </w:r>
      <w:proofErr w:type="spellEnd"/>
      <w:r w:rsidR="007D0F45" w:rsidRPr="007D0F45">
        <w:rPr>
          <w:sz w:val="22"/>
          <w:szCs w:val="22"/>
        </w:rPr>
        <w:t xml:space="preserve">, </w:t>
      </w:r>
      <w:r w:rsidR="002B0A34">
        <w:rPr>
          <w:sz w:val="22"/>
          <w:szCs w:val="22"/>
        </w:rPr>
        <w:t xml:space="preserve">V.I. </w:t>
      </w:r>
      <w:proofErr w:type="spellStart"/>
      <w:r w:rsidR="007D0F45" w:rsidRPr="007D0F45">
        <w:rPr>
          <w:sz w:val="22"/>
          <w:szCs w:val="22"/>
        </w:rPr>
        <w:t>Osipov</w:t>
      </w:r>
      <w:proofErr w:type="spellEnd"/>
      <w:r w:rsidR="007D0F45" w:rsidRPr="007D0F45">
        <w:rPr>
          <w:sz w:val="22"/>
          <w:szCs w:val="22"/>
        </w:rPr>
        <w:t xml:space="preserve">, </w:t>
      </w:r>
      <w:r w:rsidR="002B0A34">
        <w:rPr>
          <w:sz w:val="22"/>
          <w:szCs w:val="22"/>
        </w:rPr>
        <w:t xml:space="preserve">V.N. </w:t>
      </w:r>
      <w:proofErr w:type="spellStart"/>
      <w:r w:rsidR="007D0F45" w:rsidRPr="007D0F45">
        <w:rPr>
          <w:sz w:val="22"/>
          <w:szCs w:val="22"/>
        </w:rPr>
        <w:t>Sokolov</w:t>
      </w:r>
      <w:proofErr w:type="spellEnd"/>
      <w:r w:rsidR="007D0F45" w:rsidRPr="007D0F45">
        <w:rPr>
          <w:sz w:val="22"/>
          <w:szCs w:val="22"/>
        </w:rPr>
        <w:t xml:space="preserve">, “The </w:t>
      </w:r>
      <w:r w:rsidR="009E1CB6" w:rsidRPr="007D0F45">
        <w:rPr>
          <w:sz w:val="22"/>
          <w:szCs w:val="22"/>
        </w:rPr>
        <w:t>liquefaction of clayey soils under cyclic loading</w:t>
      </w:r>
      <w:r w:rsidR="007D0F45" w:rsidRPr="007D0F45">
        <w:rPr>
          <w:sz w:val="22"/>
          <w:szCs w:val="22"/>
        </w:rPr>
        <w:t xml:space="preserve">”, </w:t>
      </w:r>
      <w:r w:rsidR="007D0F45" w:rsidRPr="002B0A34">
        <w:rPr>
          <w:i/>
          <w:sz w:val="22"/>
          <w:szCs w:val="22"/>
        </w:rPr>
        <w:t>Engineering Geology</w:t>
      </w:r>
      <w:r w:rsidR="007D0F45" w:rsidRPr="007D0F45">
        <w:rPr>
          <w:sz w:val="22"/>
          <w:szCs w:val="22"/>
        </w:rPr>
        <w:t xml:space="preserve">, </w:t>
      </w:r>
      <w:r w:rsidR="002B0A34">
        <w:rPr>
          <w:sz w:val="22"/>
          <w:szCs w:val="22"/>
        </w:rPr>
        <w:t xml:space="preserve">vol. </w:t>
      </w:r>
      <w:r w:rsidR="007D0F45" w:rsidRPr="007D0F45">
        <w:rPr>
          <w:sz w:val="22"/>
          <w:szCs w:val="22"/>
        </w:rPr>
        <w:t>86</w:t>
      </w:r>
      <w:r w:rsidR="002B0A34">
        <w:rPr>
          <w:sz w:val="22"/>
          <w:szCs w:val="22"/>
        </w:rPr>
        <w:t>, pp.</w:t>
      </w:r>
      <w:r w:rsidR="007D0F45" w:rsidRPr="007D0F45">
        <w:rPr>
          <w:sz w:val="22"/>
          <w:szCs w:val="22"/>
        </w:rPr>
        <w:t xml:space="preserve"> 70-79</w:t>
      </w:r>
      <w:r w:rsidR="002B0A34">
        <w:rPr>
          <w:sz w:val="22"/>
          <w:szCs w:val="22"/>
        </w:rPr>
        <w:t>,</w:t>
      </w:r>
      <w:r w:rsidR="007D0F45" w:rsidRPr="007D0F45">
        <w:rPr>
          <w:sz w:val="22"/>
          <w:szCs w:val="22"/>
        </w:rPr>
        <w:t xml:space="preserve"> 2006.</w:t>
      </w:r>
    </w:p>
    <w:p w:rsidR="007D0F45" w:rsidRPr="007D0F45" w:rsidRDefault="003340A7" w:rsidP="007D0F45">
      <w:pPr>
        <w:ind w:left="426" w:hanging="426"/>
        <w:rPr>
          <w:sz w:val="22"/>
          <w:szCs w:val="22"/>
        </w:rPr>
      </w:pPr>
      <w:r>
        <w:rPr>
          <w:sz w:val="22"/>
          <w:szCs w:val="22"/>
        </w:rPr>
        <w:t>[3]</w:t>
      </w:r>
      <w:r w:rsidR="007D0F45" w:rsidRPr="007D0F45">
        <w:rPr>
          <w:sz w:val="22"/>
          <w:szCs w:val="22"/>
        </w:rPr>
        <w:tab/>
      </w:r>
      <w:r w:rsidR="002478E4">
        <w:rPr>
          <w:sz w:val="22"/>
          <w:szCs w:val="22"/>
        </w:rPr>
        <w:t>A.</w:t>
      </w:r>
      <w:r w:rsidR="002478E4" w:rsidRPr="007D0F45">
        <w:rPr>
          <w:sz w:val="22"/>
          <w:szCs w:val="22"/>
        </w:rPr>
        <w:t xml:space="preserve"> </w:t>
      </w:r>
      <w:proofErr w:type="spellStart"/>
      <w:r w:rsidR="007D0F45" w:rsidRPr="007D0F45">
        <w:rPr>
          <w:sz w:val="22"/>
          <w:szCs w:val="22"/>
        </w:rPr>
        <w:t>Elgamal</w:t>
      </w:r>
      <w:proofErr w:type="spellEnd"/>
      <w:r w:rsidR="007D0F45" w:rsidRPr="007D0F45">
        <w:rPr>
          <w:sz w:val="22"/>
          <w:szCs w:val="22"/>
        </w:rPr>
        <w:t xml:space="preserve">, </w:t>
      </w:r>
      <w:r w:rsidR="002478E4" w:rsidRPr="007D0F45">
        <w:rPr>
          <w:sz w:val="22"/>
          <w:szCs w:val="22"/>
        </w:rPr>
        <w:t xml:space="preserve">Z. </w:t>
      </w:r>
      <w:r w:rsidR="007D0F45" w:rsidRPr="007D0F45">
        <w:rPr>
          <w:sz w:val="22"/>
          <w:szCs w:val="22"/>
        </w:rPr>
        <w:t xml:space="preserve">Yang, </w:t>
      </w:r>
      <w:r w:rsidR="002478E4">
        <w:rPr>
          <w:sz w:val="22"/>
          <w:szCs w:val="22"/>
        </w:rPr>
        <w:t>E.</w:t>
      </w:r>
      <w:r w:rsidR="002478E4" w:rsidRPr="007D0F45">
        <w:rPr>
          <w:sz w:val="22"/>
          <w:szCs w:val="22"/>
        </w:rPr>
        <w:t xml:space="preserve"> </w:t>
      </w:r>
      <w:r w:rsidR="007D0F45" w:rsidRPr="007D0F45">
        <w:rPr>
          <w:sz w:val="22"/>
          <w:szCs w:val="22"/>
        </w:rPr>
        <w:t xml:space="preserve">Para, “Computational </w:t>
      </w:r>
      <w:r w:rsidR="009E1CB6" w:rsidRPr="007D0F45">
        <w:rPr>
          <w:sz w:val="22"/>
          <w:szCs w:val="22"/>
        </w:rPr>
        <w:t>modelling of cyclic mobility and post-liquefaction site response</w:t>
      </w:r>
      <w:r w:rsidR="007D0F45" w:rsidRPr="007D0F45">
        <w:rPr>
          <w:sz w:val="22"/>
          <w:szCs w:val="22"/>
        </w:rPr>
        <w:t xml:space="preserve">”, </w:t>
      </w:r>
      <w:r w:rsidR="007D0F45" w:rsidRPr="002478E4">
        <w:rPr>
          <w:i/>
          <w:sz w:val="22"/>
          <w:szCs w:val="22"/>
        </w:rPr>
        <w:t>Soil Dynamics and Earthquake Engineering,</w:t>
      </w:r>
      <w:r w:rsidR="007D0F45" w:rsidRPr="007D0F45">
        <w:rPr>
          <w:sz w:val="22"/>
          <w:szCs w:val="22"/>
        </w:rPr>
        <w:t xml:space="preserve"> </w:t>
      </w:r>
      <w:proofErr w:type="spellStart"/>
      <w:r w:rsidR="002478E4">
        <w:rPr>
          <w:sz w:val="22"/>
          <w:szCs w:val="22"/>
        </w:rPr>
        <w:t>vol</w:t>
      </w:r>
      <w:proofErr w:type="spellEnd"/>
      <w:r w:rsidR="002478E4">
        <w:rPr>
          <w:sz w:val="22"/>
          <w:szCs w:val="22"/>
        </w:rPr>
        <w:t xml:space="preserve"> </w:t>
      </w:r>
      <w:r w:rsidR="007D0F45" w:rsidRPr="007D0F45">
        <w:rPr>
          <w:sz w:val="22"/>
          <w:szCs w:val="22"/>
        </w:rPr>
        <w:t>22</w:t>
      </w:r>
      <w:r w:rsidR="002478E4">
        <w:rPr>
          <w:sz w:val="22"/>
          <w:szCs w:val="22"/>
        </w:rPr>
        <w:t>,</w:t>
      </w:r>
      <w:r w:rsidR="007D0F45" w:rsidRPr="007D0F45">
        <w:rPr>
          <w:sz w:val="22"/>
          <w:szCs w:val="22"/>
        </w:rPr>
        <w:t xml:space="preserve"> </w:t>
      </w:r>
      <w:r w:rsidR="002478E4">
        <w:rPr>
          <w:sz w:val="22"/>
          <w:szCs w:val="22"/>
        </w:rPr>
        <w:t xml:space="preserve">pp. </w:t>
      </w:r>
      <w:r w:rsidR="007D0F45" w:rsidRPr="007D0F45">
        <w:rPr>
          <w:sz w:val="22"/>
          <w:szCs w:val="22"/>
        </w:rPr>
        <w:t>259-268</w:t>
      </w:r>
      <w:r w:rsidR="002478E4">
        <w:rPr>
          <w:sz w:val="22"/>
          <w:szCs w:val="22"/>
        </w:rPr>
        <w:t>,</w:t>
      </w:r>
      <w:r w:rsidR="007D0F45" w:rsidRPr="007D0F45">
        <w:rPr>
          <w:sz w:val="22"/>
          <w:szCs w:val="22"/>
        </w:rPr>
        <w:t xml:space="preserve"> 2002.</w:t>
      </w:r>
    </w:p>
    <w:p w:rsidR="007D0F45" w:rsidRPr="007D0F45" w:rsidRDefault="003340A7" w:rsidP="007D0F45">
      <w:pPr>
        <w:ind w:left="426" w:hanging="426"/>
        <w:rPr>
          <w:sz w:val="22"/>
          <w:szCs w:val="22"/>
        </w:rPr>
      </w:pPr>
      <w:r>
        <w:rPr>
          <w:sz w:val="22"/>
          <w:szCs w:val="22"/>
        </w:rPr>
        <w:t>[4</w:t>
      </w:r>
      <w:r w:rsidR="007D0F45" w:rsidRPr="007D0F45">
        <w:rPr>
          <w:sz w:val="22"/>
          <w:szCs w:val="22"/>
        </w:rPr>
        <w:t>]</w:t>
      </w:r>
      <w:r w:rsidR="007D0F45" w:rsidRPr="007D0F45">
        <w:rPr>
          <w:sz w:val="22"/>
          <w:szCs w:val="22"/>
        </w:rPr>
        <w:tab/>
      </w:r>
      <w:r w:rsidR="00985C52">
        <w:rPr>
          <w:sz w:val="22"/>
          <w:szCs w:val="22"/>
        </w:rPr>
        <w:t>Z.</w:t>
      </w:r>
      <w:r w:rsidR="00985C52" w:rsidRPr="007D0F45">
        <w:rPr>
          <w:sz w:val="22"/>
          <w:szCs w:val="22"/>
        </w:rPr>
        <w:t xml:space="preserve"> </w:t>
      </w:r>
      <w:r w:rsidR="007D0F45" w:rsidRPr="007D0F45">
        <w:rPr>
          <w:sz w:val="22"/>
          <w:szCs w:val="22"/>
        </w:rPr>
        <w:t xml:space="preserve">Yang, </w:t>
      </w:r>
      <w:r w:rsidR="00985C52">
        <w:rPr>
          <w:sz w:val="22"/>
          <w:szCs w:val="22"/>
        </w:rPr>
        <w:t xml:space="preserve">A. </w:t>
      </w:r>
      <w:proofErr w:type="spellStart"/>
      <w:r w:rsidR="007D0F45" w:rsidRPr="007D0F45">
        <w:rPr>
          <w:sz w:val="22"/>
          <w:szCs w:val="22"/>
        </w:rPr>
        <w:t>Elgamal</w:t>
      </w:r>
      <w:proofErr w:type="spellEnd"/>
      <w:r w:rsidR="007D0F45" w:rsidRPr="007D0F45">
        <w:rPr>
          <w:sz w:val="22"/>
          <w:szCs w:val="22"/>
        </w:rPr>
        <w:t xml:space="preserve">, “Influence of Permeability of Liquefaction-Induced Shear Deformation”, </w:t>
      </w:r>
      <w:r w:rsidR="007D0F45" w:rsidRPr="00985C52">
        <w:rPr>
          <w:i/>
          <w:sz w:val="22"/>
          <w:szCs w:val="22"/>
        </w:rPr>
        <w:t>ASCE</w:t>
      </w:r>
      <w:r w:rsidR="007D0F45" w:rsidRPr="007D0F45">
        <w:rPr>
          <w:sz w:val="22"/>
          <w:szCs w:val="22"/>
        </w:rPr>
        <w:t xml:space="preserve">, </w:t>
      </w:r>
      <w:r w:rsidR="007F2486">
        <w:rPr>
          <w:sz w:val="22"/>
          <w:szCs w:val="22"/>
        </w:rPr>
        <w:t xml:space="preserve">vol. </w:t>
      </w:r>
      <w:r w:rsidR="007D0F45" w:rsidRPr="007D0F45">
        <w:rPr>
          <w:sz w:val="22"/>
          <w:szCs w:val="22"/>
        </w:rPr>
        <w:t>128</w:t>
      </w:r>
      <w:r w:rsidR="007F2486">
        <w:rPr>
          <w:sz w:val="22"/>
          <w:szCs w:val="22"/>
        </w:rPr>
        <w:t>,</w:t>
      </w:r>
      <w:r w:rsidR="007D0F45" w:rsidRPr="007D0F45">
        <w:rPr>
          <w:sz w:val="22"/>
          <w:szCs w:val="22"/>
        </w:rPr>
        <w:t xml:space="preserve"> </w:t>
      </w:r>
      <w:r w:rsidR="007F2486">
        <w:rPr>
          <w:sz w:val="22"/>
          <w:szCs w:val="22"/>
        </w:rPr>
        <w:t xml:space="preserve">pp. </w:t>
      </w:r>
      <w:r w:rsidR="007D0F45" w:rsidRPr="007D0F45">
        <w:rPr>
          <w:sz w:val="22"/>
          <w:szCs w:val="22"/>
        </w:rPr>
        <w:t>720-732</w:t>
      </w:r>
      <w:r w:rsidR="007F2486">
        <w:rPr>
          <w:sz w:val="22"/>
          <w:szCs w:val="22"/>
        </w:rPr>
        <w:t>,</w:t>
      </w:r>
      <w:r w:rsidR="007D0F45" w:rsidRPr="007D0F45">
        <w:rPr>
          <w:sz w:val="22"/>
          <w:szCs w:val="22"/>
        </w:rPr>
        <w:t xml:space="preserve"> 2002</w:t>
      </w:r>
      <w:r w:rsidR="007F2486">
        <w:rPr>
          <w:sz w:val="22"/>
          <w:szCs w:val="22"/>
        </w:rPr>
        <w:t>.</w:t>
      </w:r>
    </w:p>
    <w:p w:rsidR="007D0F45" w:rsidRPr="007D0F45" w:rsidRDefault="003340A7" w:rsidP="007D0F45">
      <w:pPr>
        <w:ind w:left="426" w:hanging="426"/>
        <w:rPr>
          <w:sz w:val="22"/>
          <w:szCs w:val="22"/>
        </w:rPr>
      </w:pPr>
      <w:r>
        <w:rPr>
          <w:sz w:val="22"/>
          <w:szCs w:val="22"/>
        </w:rPr>
        <w:t>[5</w:t>
      </w:r>
      <w:r w:rsidR="007D0F45" w:rsidRPr="007D0F45">
        <w:rPr>
          <w:sz w:val="22"/>
          <w:szCs w:val="22"/>
        </w:rPr>
        <w:t>]</w:t>
      </w:r>
      <w:r w:rsidR="007D0F45" w:rsidRPr="007D0F45">
        <w:rPr>
          <w:sz w:val="22"/>
          <w:szCs w:val="22"/>
        </w:rPr>
        <w:tab/>
      </w:r>
      <w:r w:rsidR="00F507FD">
        <w:rPr>
          <w:sz w:val="22"/>
          <w:szCs w:val="22"/>
        </w:rPr>
        <w:t>H.</w:t>
      </w:r>
      <w:r w:rsidR="00F507FD" w:rsidRPr="007D0F45">
        <w:rPr>
          <w:sz w:val="22"/>
          <w:szCs w:val="22"/>
        </w:rPr>
        <w:t xml:space="preserve"> </w:t>
      </w:r>
      <w:r w:rsidR="007D0F45" w:rsidRPr="007D0F45">
        <w:rPr>
          <w:sz w:val="22"/>
          <w:szCs w:val="22"/>
        </w:rPr>
        <w:t xml:space="preserve">Hwang, </w:t>
      </w:r>
      <w:r w:rsidR="00F507FD">
        <w:rPr>
          <w:sz w:val="22"/>
          <w:szCs w:val="22"/>
        </w:rPr>
        <w:t xml:space="preserve">L. </w:t>
      </w:r>
      <w:r w:rsidR="007D0F45" w:rsidRPr="007D0F45">
        <w:rPr>
          <w:sz w:val="22"/>
          <w:szCs w:val="22"/>
        </w:rPr>
        <w:t xml:space="preserve">Wang, </w:t>
      </w:r>
      <w:r w:rsidR="00F507FD">
        <w:rPr>
          <w:sz w:val="22"/>
          <w:szCs w:val="22"/>
        </w:rPr>
        <w:t xml:space="preserve">Z. </w:t>
      </w:r>
      <w:r w:rsidR="007D0F45" w:rsidRPr="007D0F45">
        <w:rPr>
          <w:sz w:val="22"/>
          <w:szCs w:val="22"/>
        </w:rPr>
        <w:t xml:space="preserve">Yuan, “Comparison of </w:t>
      </w:r>
      <w:r w:rsidR="009E1CB6" w:rsidRPr="007D0F45">
        <w:rPr>
          <w:sz w:val="22"/>
          <w:szCs w:val="22"/>
        </w:rPr>
        <w:t xml:space="preserve">liquefaction potential of loess in </w:t>
      </w:r>
      <w:r w:rsidR="007D0F45" w:rsidRPr="007D0F45">
        <w:rPr>
          <w:sz w:val="22"/>
          <w:szCs w:val="22"/>
        </w:rPr>
        <w:t xml:space="preserve">Lanzhou, China and Memphis, USA”, </w:t>
      </w:r>
      <w:r w:rsidR="007D0F45" w:rsidRPr="00F507FD">
        <w:rPr>
          <w:i/>
          <w:sz w:val="22"/>
          <w:szCs w:val="22"/>
        </w:rPr>
        <w:t>Soil Dynamics and Earthquake Engineering</w:t>
      </w:r>
      <w:r w:rsidR="007D0F45" w:rsidRPr="007D0F45">
        <w:rPr>
          <w:sz w:val="22"/>
          <w:szCs w:val="22"/>
        </w:rPr>
        <w:t xml:space="preserve">, </w:t>
      </w:r>
      <w:r w:rsidR="00F507FD">
        <w:rPr>
          <w:sz w:val="22"/>
          <w:szCs w:val="22"/>
        </w:rPr>
        <w:t xml:space="preserve">vol. </w:t>
      </w:r>
      <w:r w:rsidR="007D0F45" w:rsidRPr="007D0F45">
        <w:rPr>
          <w:sz w:val="22"/>
          <w:szCs w:val="22"/>
        </w:rPr>
        <w:t>20</w:t>
      </w:r>
      <w:r w:rsidR="00F507FD">
        <w:rPr>
          <w:sz w:val="22"/>
          <w:szCs w:val="22"/>
        </w:rPr>
        <w:t xml:space="preserve">, pp. </w:t>
      </w:r>
      <w:r w:rsidR="007D0F45" w:rsidRPr="007D0F45">
        <w:rPr>
          <w:sz w:val="22"/>
          <w:szCs w:val="22"/>
        </w:rPr>
        <w:t>389-398</w:t>
      </w:r>
      <w:r w:rsidR="00F507FD">
        <w:rPr>
          <w:sz w:val="22"/>
          <w:szCs w:val="22"/>
        </w:rPr>
        <w:t>,</w:t>
      </w:r>
      <w:r w:rsidR="007D0F45" w:rsidRPr="007D0F45">
        <w:rPr>
          <w:sz w:val="22"/>
          <w:szCs w:val="22"/>
        </w:rPr>
        <w:t xml:space="preserve"> 2000.</w:t>
      </w:r>
    </w:p>
    <w:p w:rsidR="007D0F45" w:rsidRPr="007D0F45" w:rsidRDefault="003340A7" w:rsidP="007D0F45">
      <w:pPr>
        <w:ind w:left="426" w:hanging="426"/>
        <w:rPr>
          <w:sz w:val="22"/>
          <w:szCs w:val="22"/>
        </w:rPr>
      </w:pPr>
      <w:r>
        <w:rPr>
          <w:sz w:val="22"/>
          <w:szCs w:val="22"/>
        </w:rPr>
        <w:t>[6</w:t>
      </w:r>
      <w:r w:rsidR="007D0F45" w:rsidRPr="007D0F45">
        <w:rPr>
          <w:sz w:val="22"/>
          <w:szCs w:val="22"/>
        </w:rPr>
        <w:t>]</w:t>
      </w:r>
      <w:r w:rsidR="007D0F45" w:rsidRPr="007D0F45">
        <w:rPr>
          <w:sz w:val="22"/>
          <w:szCs w:val="22"/>
        </w:rPr>
        <w:tab/>
      </w:r>
      <w:r w:rsidR="00F54C85">
        <w:rPr>
          <w:sz w:val="22"/>
          <w:szCs w:val="22"/>
        </w:rPr>
        <w:t xml:space="preserve">J.F. </w:t>
      </w:r>
      <w:r w:rsidR="007D0F45" w:rsidRPr="007D0F45">
        <w:rPr>
          <w:sz w:val="22"/>
          <w:szCs w:val="22"/>
        </w:rPr>
        <w:t xml:space="preserve">Bird, </w:t>
      </w:r>
      <w:r w:rsidR="00F54C85">
        <w:rPr>
          <w:sz w:val="22"/>
          <w:szCs w:val="22"/>
        </w:rPr>
        <w:t xml:space="preserve">J.J. </w:t>
      </w:r>
      <w:proofErr w:type="spellStart"/>
      <w:r w:rsidR="007D0F45" w:rsidRPr="007D0F45">
        <w:rPr>
          <w:sz w:val="22"/>
          <w:szCs w:val="22"/>
        </w:rPr>
        <w:t>Brommer</w:t>
      </w:r>
      <w:proofErr w:type="spellEnd"/>
      <w:r w:rsidR="007D0F45" w:rsidRPr="007D0F45">
        <w:rPr>
          <w:sz w:val="22"/>
          <w:szCs w:val="22"/>
        </w:rPr>
        <w:t xml:space="preserve">, </w:t>
      </w:r>
      <w:r w:rsidR="00F54C85">
        <w:rPr>
          <w:sz w:val="22"/>
          <w:szCs w:val="22"/>
        </w:rPr>
        <w:t>H.</w:t>
      </w:r>
      <w:r w:rsidR="007D0F45" w:rsidRPr="007D0F45">
        <w:rPr>
          <w:sz w:val="22"/>
          <w:szCs w:val="22"/>
        </w:rPr>
        <w:t xml:space="preserve"> Crowley, </w:t>
      </w:r>
      <w:r w:rsidR="00F54C85">
        <w:rPr>
          <w:sz w:val="22"/>
          <w:szCs w:val="22"/>
        </w:rPr>
        <w:t>R.</w:t>
      </w:r>
      <w:r w:rsidR="007D0F45" w:rsidRPr="007D0F45">
        <w:rPr>
          <w:sz w:val="22"/>
          <w:szCs w:val="22"/>
        </w:rPr>
        <w:t xml:space="preserve"> </w:t>
      </w:r>
      <w:proofErr w:type="spellStart"/>
      <w:r w:rsidR="007D0F45" w:rsidRPr="007D0F45">
        <w:rPr>
          <w:sz w:val="22"/>
          <w:szCs w:val="22"/>
        </w:rPr>
        <w:t>Pinho</w:t>
      </w:r>
      <w:proofErr w:type="spellEnd"/>
      <w:r w:rsidR="007D0F45" w:rsidRPr="007D0F45">
        <w:rPr>
          <w:sz w:val="22"/>
          <w:szCs w:val="22"/>
        </w:rPr>
        <w:t>, “Modelling</w:t>
      </w:r>
      <w:r w:rsidR="009E1CB6" w:rsidRPr="007D0F45">
        <w:rPr>
          <w:sz w:val="22"/>
          <w:szCs w:val="22"/>
        </w:rPr>
        <w:t xml:space="preserve"> liquefaction-induced building damage in earthquake loss estimation</w:t>
      </w:r>
      <w:r w:rsidR="007D0F45" w:rsidRPr="007D0F45">
        <w:rPr>
          <w:sz w:val="22"/>
          <w:szCs w:val="22"/>
        </w:rPr>
        <w:t xml:space="preserve">,” </w:t>
      </w:r>
      <w:r w:rsidR="007D0F45" w:rsidRPr="00F54C85">
        <w:rPr>
          <w:i/>
          <w:sz w:val="22"/>
          <w:szCs w:val="22"/>
        </w:rPr>
        <w:t>Soil Dynamics and Earthquake Engineering</w:t>
      </w:r>
      <w:r w:rsidR="007D0F45" w:rsidRPr="007D0F45">
        <w:rPr>
          <w:sz w:val="22"/>
          <w:szCs w:val="22"/>
        </w:rPr>
        <w:t xml:space="preserve">, </w:t>
      </w:r>
      <w:r w:rsidR="00F54C85">
        <w:rPr>
          <w:sz w:val="22"/>
          <w:szCs w:val="22"/>
        </w:rPr>
        <w:t xml:space="preserve">vol. </w:t>
      </w:r>
      <w:r w:rsidR="007D0F45" w:rsidRPr="007D0F45">
        <w:rPr>
          <w:sz w:val="22"/>
          <w:szCs w:val="22"/>
        </w:rPr>
        <w:t>26</w:t>
      </w:r>
      <w:r w:rsidR="00F54C85">
        <w:rPr>
          <w:sz w:val="22"/>
          <w:szCs w:val="22"/>
        </w:rPr>
        <w:t>,</w:t>
      </w:r>
      <w:r w:rsidR="007D0F45" w:rsidRPr="007D0F45">
        <w:rPr>
          <w:sz w:val="22"/>
          <w:szCs w:val="22"/>
        </w:rPr>
        <w:t xml:space="preserve"> </w:t>
      </w:r>
      <w:r w:rsidR="00F54C85">
        <w:rPr>
          <w:sz w:val="22"/>
          <w:szCs w:val="22"/>
        </w:rPr>
        <w:t xml:space="preserve">pp. </w:t>
      </w:r>
      <w:r w:rsidR="007D0F45" w:rsidRPr="007D0F45">
        <w:rPr>
          <w:sz w:val="22"/>
          <w:szCs w:val="22"/>
        </w:rPr>
        <w:t>15-26</w:t>
      </w:r>
      <w:r w:rsidR="00F54C85">
        <w:rPr>
          <w:sz w:val="22"/>
          <w:szCs w:val="22"/>
        </w:rPr>
        <w:t>,</w:t>
      </w:r>
      <w:r w:rsidR="007D0F45" w:rsidRPr="007D0F45">
        <w:rPr>
          <w:sz w:val="22"/>
          <w:szCs w:val="22"/>
        </w:rPr>
        <w:t xml:space="preserve"> 2005.</w:t>
      </w:r>
    </w:p>
    <w:p w:rsidR="007D0F45" w:rsidRPr="007D0F45" w:rsidRDefault="003340A7" w:rsidP="007D0F45">
      <w:pPr>
        <w:ind w:left="426" w:hanging="426"/>
        <w:rPr>
          <w:sz w:val="22"/>
          <w:szCs w:val="22"/>
        </w:rPr>
      </w:pPr>
      <w:r>
        <w:rPr>
          <w:sz w:val="22"/>
          <w:szCs w:val="22"/>
        </w:rPr>
        <w:t>[7</w:t>
      </w:r>
      <w:r w:rsidR="007D0F45" w:rsidRPr="007D0F45">
        <w:rPr>
          <w:sz w:val="22"/>
          <w:szCs w:val="22"/>
        </w:rPr>
        <w:t>]</w:t>
      </w:r>
      <w:r w:rsidR="007D0F45" w:rsidRPr="007D0F45">
        <w:rPr>
          <w:sz w:val="22"/>
          <w:szCs w:val="22"/>
        </w:rPr>
        <w:tab/>
      </w:r>
      <w:r w:rsidR="00E65E1A">
        <w:rPr>
          <w:sz w:val="22"/>
          <w:szCs w:val="22"/>
        </w:rPr>
        <w:t xml:space="preserve">M. </w:t>
      </w:r>
      <w:r w:rsidR="007D0F45" w:rsidRPr="007D0F45">
        <w:rPr>
          <w:sz w:val="22"/>
          <w:szCs w:val="22"/>
        </w:rPr>
        <w:t>Kevin,</w:t>
      </w:r>
      <w:r w:rsidR="00E65E1A">
        <w:rPr>
          <w:sz w:val="22"/>
          <w:szCs w:val="22"/>
        </w:rPr>
        <w:t xml:space="preserve"> L. </w:t>
      </w:r>
      <w:r w:rsidR="007D0F45" w:rsidRPr="007D0F45">
        <w:rPr>
          <w:sz w:val="22"/>
          <w:szCs w:val="22"/>
        </w:rPr>
        <w:t>Dawson,</w:t>
      </w:r>
      <w:r w:rsidR="00E65E1A">
        <w:rPr>
          <w:sz w:val="22"/>
          <w:szCs w:val="22"/>
        </w:rPr>
        <w:t xml:space="preserve"> G.</w:t>
      </w:r>
      <w:r w:rsidR="007D0F45" w:rsidRPr="007D0F45">
        <w:rPr>
          <w:sz w:val="22"/>
          <w:szCs w:val="22"/>
        </w:rPr>
        <w:t xml:space="preserve"> </w:t>
      </w:r>
      <w:proofErr w:type="spellStart"/>
      <w:r w:rsidR="007D0F45" w:rsidRPr="007D0F45">
        <w:rPr>
          <w:sz w:val="22"/>
          <w:szCs w:val="22"/>
        </w:rPr>
        <w:t>Baise</w:t>
      </w:r>
      <w:proofErr w:type="spellEnd"/>
      <w:r w:rsidR="007D0F45" w:rsidRPr="007D0F45">
        <w:rPr>
          <w:sz w:val="22"/>
          <w:szCs w:val="22"/>
        </w:rPr>
        <w:t>,</w:t>
      </w:r>
      <w:r w:rsidR="00E65E1A">
        <w:rPr>
          <w:sz w:val="22"/>
          <w:szCs w:val="22"/>
        </w:rPr>
        <w:t xml:space="preserve"> </w:t>
      </w:r>
      <w:r w:rsidR="007D0F45" w:rsidRPr="007D0F45">
        <w:rPr>
          <w:sz w:val="22"/>
          <w:szCs w:val="22"/>
        </w:rPr>
        <w:t>“Three-</w:t>
      </w:r>
      <w:r w:rsidR="00F83148" w:rsidRPr="007D0F45">
        <w:rPr>
          <w:sz w:val="22"/>
          <w:szCs w:val="22"/>
        </w:rPr>
        <w:t>dimensional liquefaction potential analysis using geostatistical interpolation</w:t>
      </w:r>
      <w:r w:rsidR="007D0F45" w:rsidRPr="007D0F45">
        <w:rPr>
          <w:sz w:val="22"/>
          <w:szCs w:val="22"/>
        </w:rPr>
        <w:t xml:space="preserve">”, </w:t>
      </w:r>
      <w:r w:rsidR="007D0F45" w:rsidRPr="00E65E1A">
        <w:rPr>
          <w:i/>
          <w:sz w:val="22"/>
          <w:szCs w:val="22"/>
        </w:rPr>
        <w:t>Soil Dynamics and Earthquake Engineering</w:t>
      </w:r>
      <w:r w:rsidR="007D0F45" w:rsidRPr="007D0F45">
        <w:rPr>
          <w:sz w:val="22"/>
          <w:szCs w:val="22"/>
        </w:rPr>
        <w:t xml:space="preserve">, </w:t>
      </w:r>
      <w:r w:rsidR="00B808C4">
        <w:rPr>
          <w:sz w:val="22"/>
          <w:szCs w:val="22"/>
        </w:rPr>
        <w:t xml:space="preserve">vol. </w:t>
      </w:r>
      <w:r w:rsidR="007D0F45" w:rsidRPr="007D0F45">
        <w:rPr>
          <w:sz w:val="22"/>
          <w:szCs w:val="22"/>
        </w:rPr>
        <w:t>25</w:t>
      </w:r>
      <w:r w:rsidR="00B808C4">
        <w:rPr>
          <w:sz w:val="22"/>
          <w:szCs w:val="22"/>
        </w:rPr>
        <w:t>,</w:t>
      </w:r>
      <w:r w:rsidR="007D0F45" w:rsidRPr="007D0F45">
        <w:rPr>
          <w:sz w:val="22"/>
          <w:szCs w:val="22"/>
        </w:rPr>
        <w:t xml:space="preserve"> </w:t>
      </w:r>
      <w:r w:rsidR="00B808C4">
        <w:rPr>
          <w:sz w:val="22"/>
          <w:szCs w:val="22"/>
        </w:rPr>
        <w:t xml:space="preserve">pp. </w:t>
      </w:r>
      <w:r w:rsidR="007D0F45" w:rsidRPr="007D0F45">
        <w:rPr>
          <w:sz w:val="22"/>
          <w:szCs w:val="22"/>
        </w:rPr>
        <w:t>369-380</w:t>
      </w:r>
      <w:r w:rsidR="00B808C4">
        <w:rPr>
          <w:sz w:val="22"/>
          <w:szCs w:val="22"/>
        </w:rPr>
        <w:t>,</w:t>
      </w:r>
      <w:r w:rsidR="007D0F45" w:rsidRPr="007D0F45">
        <w:rPr>
          <w:sz w:val="22"/>
          <w:szCs w:val="22"/>
        </w:rPr>
        <w:t xml:space="preserve"> 2005.</w:t>
      </w:r>
    </w:p>
    <w:p w:rsidR="007D0F45" w:rsidRPr="007D0F45" w:rsidRDefault="003340A7" w:rsidP="007D0F45">
      <w:pPr>
        <w:ind w:left="426" w:hanging="426"/>
        <w:rPr>
          <w:sz w:val="22"/>
          <w:szCs w:val="22"/>
        </w:rPr>
      </w:pPr>
      <w:r>
        <w:rPr>
          <w:sz w:val="22"/>
          <w:szCs w:val="22"/>
        </w:rPr>
        <w:t>[8</w:t>
      </w:r>
      <w:r w:rsidR="007D0F45" w:rsidRPr="007D0F45">
        <w:rPr>
          <w:sz w:val="22"/>
          <w:szCs w:val="22"/>
        </w:rPr>
        <w:t>]</w:t>
      </w:r>
      <w:r w:rsidR="007D0F45" w:rsidRPr="007D0F45">
        <w:rPr>
          <w:sz w:val="22"/>
          <w:szCs w:val="22"/>
        </w:rPr>
        <w:tab/>
      </w:r>
      <w:r w:rsidR="00BA61B7">
        <w:rPr>
          <w:sz w:val="22"/>
          <w:szCs w:val="22"/>
        </w:rPr>
        <w:t xml:space="preserve">D. </w:t>
      </w:r>
      <w:r w:rsidR="007D0F45" w:rsidRPr="007D0F45">
        <w:rPr>
          <w:sz w:val="22"/>
          <w:szCs w:val="22"/>
        </w:rPr>
        <w:t xml:space="preserve">Yuan, </w:t>
      </w:r>
      <w:r w:rsidR="00BA61B7">
        <w:rPr>
          <w:sz w:val="22"/>
          <w:szCs w:val="22"/>
        </w:rPr>
        <w:t xml:space="preserve">S. </w:t>
      </w:r>
      <w:proofErr w:type="spellStart"/>
      <w:r w:rsidR="00BA61B7">
        <w:rPr>
          <w:sz w:val="22"/>
          <w:szCs w:val="22"/>
        </w:rPr>
        <w:t>Tadunbu</w:t>
      </w:r>
      <w:proofErr w:type="spellEnd"/>
      <w:r w:rsidR="00BA61B7">
        <w:rPr>
          <w:sz w:val="22"/>
          <w:szCs w:val="22"/>
        </w:rPr>
        <w:t xml:space="preserve">, </w:t>
      </w:r>
      <w:r w:rsidR="007D0F45" w:rsidRPr="007D0F45">
        <w:rPr>
          <w:sz w:val="22"/>
          <w:szCs w:val="22"/>
        </w:rPr>
        <w:t xml:space="preserve">“A </w:t>
      </w:r>
      <w:r w:rsidR="00F83148" w:rsidRPr="007D0F45">
        <w:rPr>
          <w:sz w:val="22"/>
          <w:szCs w:val="22"/>
        </w:rPr>
        <w:t>practical numerical method for large strain liquefaction analysis of saturated soils</w:t>
      </w:r>
      <w:r w:rsidR="007D0F45" w:rsidRPr="007D0F45">
        <w:rPr>
          <w:sz w:val="22"/>
          <w:szCs w:val="22"/>
        </w:rPr>
        <w:t xml:space="preserve">”, </w:t>
      </w:r>
      <w:r w:rsidR="007D0F45" w:rsidRPr="00BA61B7">
        <w:rPr>
          <w:i/>
          <w:sz w:val="22"/>
          <w:szCs w:val="22"/>
        </w:rPr>
        <w:t>Soil Dynamics and Earthquake Engineering</w:t>
      </w:r>
      <w:r w:rsidR="007D0F45" w:rsidRPr="007D0F45">
        <w:rPr>
          <w:sz w:val="22"/>
          <w:szCs w:val="22"/>
        </w:rPr>
        <w:t xml:space="preserve">, </w:t>
      </w:r>
      <w:proofErr w:type="spellStart"/>
      <w:r w:rsidR="00BA61B7">
        <w:rPr>
          <w:sz w:val="22"/>
          <w:szCs w:val="22"/>
        </w:rPr>
        <w:t>vol</w:t>
      </w:r>
      <w:proofErr w:type="spellEnd"/>
      <w:r w:rsidR="00BA61B7">
        <w:rPr>
          <w:sz w:val="22"/>
          <w:szCs w:val="22"/>
        </w:rPr>
        <w:t xml:space="preserve"> </w:t>
      </w:r>
      <w:r w:rsidR="007D0F45" w:rsidRPr="007D0F45">
        <w:rPr>
          <w:sz w:val="22"/>
          <w:szCs w:val="22"/>
        </w:rPr>
        <w:t>24</w:t>
      </w:r>
      <w:r w:rsidR="00BA61B7">
        <w:rPr>
          <w:sz w:val="22"/>
          <w:szCs w:val="22"/>
        </w:rPr>
        <w:t>,</w:t>
      </w:r>
      <w:r w:rsidR="007D0F45" w:rsidRPr="007D0F45">
        <w:rPr>
          <w:sz w:val="22"/>
          <w:szCs w:val="22"/>
        </w:rPr>
        <w:t xml:space="preserve"> </w:t>
      </w:r>
      <w:r w:rsidR="00BA61B7">
        <w:rPr>
          <w:sz w:val="22"/>
          <w:szCs w:val="22"/>
        </w:rPr>
        <w:t xml:space="preserve">pp. </w:t>
      </w:r>
      <w:r w:rsidR="007D0F45" w:rsidRPr="007D0F45">
        <w:rPr>
          <w:sz w:val="22"/>
          <w:szCs w:val="22"/>
        </w:rPr>
        <w:t>251-265</w:t>
      </w:r>
      <w:r w:rsidR="00BA61B7">
        <w:rPr>
          <w:sz w:val="22"/>
          <w:szCs w:val="22"/>
        </w:rPr>
        <w:t>,</w:t>
      </w:r>
      <w:r w:rsidR="007D0F45" w:rsidRPr="007D0F45">
        <w:rPr>
          <w:sz w:val="22"/>
          <w:szCs w:val="22"/>
        </w:rPr>
        <w:t xml:space="preserve"> 2004.</w:t>
      </w:r>
    </w:p>
    <w:p w:rsidR="007D0F45" w:rsidRPr="007D0F45" w:rsidRDefault="003340A7" w:rsidP="007D0F45">
      <w:pPr>
        <w:ind w:left="426" w:hanging="426"/>
        <w:rPr>
          <w:sz w:val="22"/>
          <w:szCs w:val="22"/>
        </w:rPr>
      </w:pPr>
      <w:r>
        <w:rPr>
          <w:sz w:val="22"/>
          <w:szCs w:val="22"/>
        </w:rPr>
        <w:t>[9</w:t>
      </w:r>
      <w:r w:rsidR="007D0F45" w:rsidRPr="007D0F45">
        <w:rPr>
          <w:sz w:val="22"/>
          <w:szCs w:val="22"/>
        </w:rPr>
        <w:t>]</w:t>
      </w:r>
      <w:r w:rsidR="007D0F45" w:rsidRPr="007D0F45">
        <w:rPr>
          <w:sz w:val="22"/>
          <w:szCs w:val="22"/>
        </w:rPr>
        <w:tab/>
      </w:r>
      <w:r w:rsidR="00FA620C">
        <w:rPr>
          <w:sz w:val="22"/>
          <w:szCs w:val="22"/>
        </w:rPr>
        <w:t xml:space="preserve">K. Ishihara, M. </w:t>
      </w:r>
      <w:proofErr w:type="spellStart"/>
      <w:r w:rsidR="00FA620C">
        <w:rPr>
          <w:sz w:val="22"/>
          <w:szCs w:val="22"/>
        </w:rPr>
        <w:t>Cubrinovski</w:t>
      </w:r>
      <w:proofErr w:type="spellEnd"/>
      <w:r w:rsidR="00FA620C">
        <w:rPr>
          <w:sz w:val="22"/>
          <w:szCs w:val="22"/>
        </w:rPr>
        <w:t>,</w:t>
      </w:r>
      <w:r w:rsidR="007D0F45" w:rsidRPr="007D0F45">
        <w:rPr>
          <w:sz w:val="22"/>
          <w:szCs w:val="22"/>
        </w:rPr>
        <w:t xml:space="preserve"> “Characteristics </w:t>
      </w:r>
      <w:r w:rsidR="00F83148" w:rsidRPr="007D0F45">
        <w:rPr>
          <w:sz w:val="22"/>
          <w:szCs w:val="22"/>
        </w:rPr>
        <w:t>of ground motion in liquefi</w:t>
      </w:r>
      <w:r w:rsidR="00F83148">
        <w:rPr>
          <w:sz w:val="22"/>
          <w:szCs w:val="22"/>
        </w:rPr>
        <w:t>ed deposits during earthquakes</w:t>
      </w:r>
      <w:r w:rsidR="00FA620C">
        <w:rPr>
          <w:sz w:val="22"/>
          <w:szCs w:val="22"/>
        </w:rPr>
        <w:t>”,</w:t>
      </w:r>
      <w:r w:rsidR="007D0F45" w:rsidRPr="007D0F45">
        <w:rPr>
          <w:sz w:val="22"/>
          <w:szCs w:val="22"/>
        </w:rPr>
        <w:t xml:space="preserve"> </w:t>
      </w:r>
      <w:r w:rsidR="007D0F45" w:rsidRPr="00FA620C">
        <w:rPr>
          <w:i/>
          <w:sz w:val="22"/>
          <w:szCs w:val="22"/>
        </w:rPr>
        <w:t>Journal of Earthquake Engineering</w:t>
      </w:r>
      <w:r w:rsidR="007D0F45" w:rsidRPr="007D0F45">
        <w:rPr>
          <w:sz w:val="22"/>
          <w:szCs w:val="22"/>
        </w:rPr>
        <w:t xml:space="preserve">, </w:t>
      </w:r>
      <w:r w:rsidR="00FA620C">
        <w:rPr>
          <w:sz w:val="22"/>
          <w:szCs w:val="22"/>
        </w:rPr>
        <w:t xml:space="preserve">vol. </w:t>
      </w:r>
      <w:r w:rsidR="007D0F45" w:rsidRPr="007D0F45">
        <w:rPr>
          <w:sz w:val="22"/>
          <w:szCs w:val="22"/>
        </w:rPr>
        <w:t>9</w:t>
      </w:r>
      <w:r w:rsidR="00FA620C">
        <w:rPr>
          <w:sz w:val="22"/>
          <w:szCs w:val="22"/>
        </w:rPr>
        <w:t>,</w:t>
      </w:r>
      <w:r w:rsidR="007D0F45" w:rsidRPr="007D0F45">
        <w:rPr>
          <w:sz w:val="22"/>
          <w:szCs w:val="22"/>
        </w:rPr>
        <w:t xml:space="preserve"> </w:t>
      </w:r>
      <w:r w:rsidR="00FA620C">
        <w:rPr>
          <w:sz w:val="22"/>
          <w:szCs w:val="22"/>
        </w:rPr>
        <w:t xml:space="preserve">pp. </w:t>
      </w:r>
      <w:r w:rsidR="007D0F45" w:rsidRPr="007D0F45">
        <w:rPr>
          <w:sz w:val="22"/>
          <w:szCs w:val="22"/>
        </w:rPr>
        <w:t>1-16</w:t>
      </w:r>
      <w:r w:rsidR="00FA620C">
        <w:rPr>
          <w:sz w:val="22"/>
          <w:szCs w:val="22"/>
        </w:rPr>
        <w:t>,</w:t>
      </w:r>
      <w:r w:rsidR="007D0F45" w:rsidRPr="007D0F45">
        <w:rPr>
          <w:sz w:val="22"/>
          <w:szCs w:val="22"/>
        </w:rPr>
        <w:t xml:space="preserve"> 2005.</w:t>
      </w:r>
    </w:p>
    <w:p w:rsidR="007D0F45" w:rsidRPr="007D0F45" w:rsidRDefault="003340A7" w:rsidP="007D0F45">
      <w:pPr>
        <w:ind w:left="426" w:hanging="426"/>
        <w:rPr>
          <w:sz w:val="22"/>
          <w:szCs w:val="22"/>
        </w:rPr>
      </w:pPr>
      <w:r>
        <w:rPr>
          <w:sz w:val="22"/>
          <w:szCs w:val="22"/>
        </w:rPr>
        <w:t>[10</w:t>
      </w:r>
      <w:r w:rsidR="007D0F45" w:rsidRPr="007D0F45">
        <w:rPr>
          <w:sz w:val="22"/>
          <w:szCs w:val="22"/>
        </w:rPr>
        <w:t>]</w:t>
      </w:r>
      <w:r w:rsidR="004A6197">
        <w:rPr>
          <w:sz w:val="22"/>
          <w:szCs w:val="22"/>
        </w:rPr>
        <w:tab/>
        <w:t xml:space="preserve">S. </w:t>
      </w:r>
      <w:proofErr w:type="spellStart"/>
      <w:r w:rsidR="004A6197">
        <w:rPr>
          <w:sz w:val="22"/>
          <w:szCs w:val="22"/>
        </w:rPr>
        <w:t>T</w:t>
      </w:r>
      <w:r w:rsidR="007D0F45" w:rsidRPr="007D0F45">
        <w:rPr>
          <w:sz w:val="22"/>
          <w:szCs w:val="22"/>
        </w:rPr>
        <w:t>hevanayagam</w:t>
      </w:r>
      <w:proofErr w:type="spellEnd"/>
      <w:r w:rsidR="007D0F45" w:rsidRPr="007D0F45">
        <w:rPr>
          <w:sz w:val="22"/>
          <w:szCs w:val="22"/>
        </w:rPr>
        <w:t xml:space="preserve">, </w:t>
      </w:r>
      <w:r w:rsidR="004A6197">
        <w:rPr>
          <w:sz w:val="22"/>
          <w:szCs w:val="22"/>
        </w:rPr>
        <w:t>G.R.</w:t>
      </w:r>
      <w:r w:rsidR="007D0F45" w:rsidRPr="007D0F45">
        <w:rPr>
          <w:sz w:val="22"/>
          <w:szCs w:val="22"/>
        </w:rPr>
        <w:t xml:space="preserve"> Martin, “Liquefaction in </w:t>
      </w:r>
      <w:r w:rsidR="00F83148" w:rsidRPr="007D0F45">
        <w:rPr>
          <w:sz w:val="22"/>
          <w:szCs w:val="22"/>
        </w:rPr>
        <w:t>silty soils-screening and remedia</w:t>
      </w:r>
      <w:r w:rsidR="00F83148">
        <w:rPr>
          <w:sz w:val="22"/>
          <w:szCs w:val="22"/>
        </w:rPr>
        <w:t>tion issues</w:t>
      </w:r>
      <w:r w:rsidR="007D0F45" w:rsidRPr="007D0F45">
        <w:rPr>
          <w:sz w:val="22"/>
          <w:szCs w:val="22"/>
        </w:rPr>
        <w:t>”</w:t>
      </w:r>
      <w:r w:rsidR="004A6197">
        <w:rPr>
          <w:sz w:val="22"/>
          <w:szCs w:val="22"/>
        </w:rPr>
        <w:t>,</w:t>
      </w:r>
      <w:r w:rsidR="007D0F45" w:rsidRPr="007D0F45">
        <w:rPr>
          <w:sz w:val="22"/>
          <w:szCs w:val="22"/>
        </w:rPr>
        <w:t xml:space="preserve"> </w:t>
      </w:r>
      <w:r w:rsidR="007D0F45" w:rsidRPr="004A6197">
        <w:rPr>
          <w:i/>
          <w:sz w:val="22"/>
          <w:szCs w:val="22"/>
        </w:rPr>
        <w:t>Soil Dynamics and Earthquake Engineering</w:t>
      </w:r>
      <w:r w:rsidR="007D0F45" w:rsidRPr="007D0F45">
        <w:rPr>
          <w:sz w:val="22"/>
          <w:szCs w:val="22"/>
        </w:rPr>
        <w:t xml:space="preserve">, </w:t>
      </w:r>
      <w:r w:rsidR="004A6197">
        <w:rPr>
          <w:sz w:val="22"/>
          <w:szCs w:val="22"/>
        </w:rPr>
        <w:t xml:space="preserve">vol. </w:t>
      </w:r>
      <w:r w:rsidR="007D0F45" w:rsidRPr="007D0F45">
        <w:rPr>
          <w:sz w:val="22"/>
          <w:szCs w:val="22"/>
        </w:rPr>
        <w:t>22</w:t>
      </w:r>
      <w:r w:rsidR="004A6197">
        <w:rPr>
          <w:sz w:val="22"/>
          <w:szCs w:val="22"/>
        </w:rPr>
        <w:t>,</w:t>
      </w:r>
      <w:r w:rsidR="007D0F45" w:rsidRPr="007D0F45">
        <w:rPr>
          <w:sz w:val="22"/>
          <w:szCs w:val="22"/>
        </w:rPr>
        <w:t xml:space="preserve"> </w:t>
      </w:r>
      <w:r w:rsidR="004A6197">
        <w:rPr>
          <w:sz w:val="22"/>
          <w:szCs w:val="22"/>
        </w:rPr>
        <w:t xml:space="preserve">pp. </w:t>
      </w:r>
      <w:r w:rsidR="007D0F45" w:rsidRPr="007D0F45">
        <w:rPr>
          <w:sz w:val="22"/>
          <w:szCs w:val="22"/>
        </w:rPr>
        <w:t>9-23</w:t>
      </w:r>
      <w:r w:rsidR="004A6197">
        <w:rPr>
          <w:sz w:val="22"/>
          <w:szCs w:val="22"/>
        </w:rPr>
        <w:t>,</w:t>
      </w:r>
      <w:r w:rsidR="007D0F45" w:rsidRPr="007D0F45">
        <w:rPr>
          <w:sz w:val="22"/>
          <w:szCs w:val="22"/>
        </w:rPr>
        <w:t xml:space="preserve"> 2002.</w:t>
      </w:r>
    </w:p>
    <w:p w:rsidR="007D0F45" w:rsidRPr="007D0F45" w:rsidRDefault="003340A7" w:rsidP="007D0F45">
      <w:pPr>
        <w:ind w:left="426" w:hanging="426"/>
        <w:rPr>
          <w:sz w:val="22"/>
          <w:szCs w:val="22"/>
        </w:rPr>
      </w:pPr>
      <w:r>
        <w:rPr>
          <w:sz w:val="22"/>
          <w:szCs w:val="22"/>
        </w:rPr>
        <w:t>[11</w:t>
      </w:r>
      <w:r w:rsidR="007D0F45" w:rsidRPr="007D0F45">
        <w:rPr>
          <w:sz w:val="22"/>
          <w:szCs w:val="22"/>
        </w:rPr>
        <w:t>]</w:t>
      </w:r>
      <w:r w:rsidR="007D0F45" w:rsidRPr="007D0F45">
        <w:rPr>
          <w:sz w:val="22"/>
          <w:szCs w:val="22"/>
        </w:rPr>
        <w:tab/>
      </w:r>
      <w:r w:rsidR="004A6197">
        <w:rPr>
          <w:sz w:val="22"/>
          <w:szCs w:val="22"/>
        </w:rPr>
        <w:t xml:space="preserve">J. Yang, T. </w:t>
      </w:r>
      <w:r w:rsidR="007D0F45" w:rsidRPr="007D0F45">
        <w:rPr>
          <w:sz w:val="22"/>
          <w:szCs w:val="22"/>
        </w:rPr>
        <w:t xml:space="preserve">Sato, </w:t>
      </w:r>
      <w:r w:rsidR="004A6197">
        <w:rPr>
          <w:sz w:val="22"/>
          <w:szCs w:val="22"/>
        </w:rPr>
        <w:t xml:space="preserve">S. </w:t>
      </w:r>
      <w:proofErr w:type="spellStart"/>
      <w:r w:rsidR="007D0F45" w:rsidRPr="007D0F45">
        <w:rPr>
          <w:sz w:val="22"/>
          <w:szCs w:val="22"/>
        </w:rPr>
        <w:t>Savidis</w:t>
      </w:r>
      <w:proofErr w:type="spellEnd"/>
      <w:r w:rsidR="007D0F45" w:rsidRPr="007D0F45">
        <w:rPr>
          <w:sz w:val="22"/>
          <w:szCs w:val="22"/>
        </w:rPr>
        <w:t xml:space="preserve">, </w:t>
      </w:r>
      <w:r w:rsidR="004A6197">
        <w:rPr>
          <w:sz w:val="22"/>
          <w:szCs w:val="22"/>
        </w:rPr>
        <w:t>X.S.</w:t>
      </w:r>
      <w:r w:rsidR="007D0F45" w:rsidRPr="007D0F45">
        <w:rPr>
          <w:sz w:val="22"/>
          <w:szCs w:val="22"/>
        </w:rPr>
        <w:t xml:space="preserve"> Li, “Horizontal and </w:t>
      </w:r>
      <w:r w:rsidR="00F83148" w:rsidRPr="007D0F45">
        <w:rPr>
          <w:sz w:val="22"/>
          <w:szCs w:val="22"/>
        </w:rPr>
        <w:t>vertical components of earthquake grou</w:t>
      </w:r>
      <w:r w:rsidR="00F83148">
        <w:rPr>
          <w:sz w:val="22"/>
          <w:szCs w:val="22"/>
        </w:rPr>
        <w:t>nd motions at liquefiable sites</w:t>
      </w:r>
      <w:r w:rsidR="007D0F45" w:rsidRPr="007D0F45">
        <w:rPr>
          <w:sz w:val="22"/>
          <w:szCs w:val="22"/>
        </w:rPr>
        <w:t>”</w:t>
      </w:r>
      <w:r w:rsidR="004A6197">
        <w:rPr>
          <w:sz w:val="22"/>
          <w:szCs w:val="22"/>
        </w:rPr>
        <w:t>,</w:t>
      </w:r>
      <w:r w:rsidR="007D0F45" w:rsidRPr="007D0F45">
        <w:rPr>
          <w:sz w:val="22"/>
          <w:szCs w:val="22"/>
        </w:rPr>
        <w:t xml:space="preserve"> </w:t>
      </w:r>
      <w:r w:rsidR="007D0F45" w:rsidRPr="004A6197">
        <w:rPr>
          <w:i/>
          <w:sz w:val="22"/>
          <w:szCs w:val="22"/>
        </w:rPr>
        <w:t>Soil Dynamics and Earthquake Engineering</w:t>
      </w:r>
      <w:r w:rsidR="007D0F45" w:rsidRPr="007D0F45">
        <w:rPr>
          <w:sz w:val="22"/>
          <w:szCs w:val="22"/>
        </w:rPr>
        <w:t xml:space="preserve">, </w:t>
      </w:r>
      <w:r w:rsidR="004A6197">
        <w:rPr>
          <w:sz w:val="22"/>
          <w:szCs w:val="22"/>
        </w:rPr>
        <w:t xml:space="preserve">vol. 22, pp. </w:t>
      </w:r>
      <w:r w:rsidR="007D0F45" w:rsidRPr="007D0F45">
        <w:rPr>
          <w:sz w:val="22"/>
          <w:szCs w:val="22"/>
        </w:rPr>
        <w:t>229-246</w:t>
      </w:r>
      <w:r w:rsidR="004A6197">
        <w:rPr>
          <w:sz w:val="22"/>
          <w:szCs w:val="22"/>
        </w:rPr>
        <w:t>,</w:t>
      </w:r>
      <w:r w:rsidR="007D0F45" w:rsidRPr="007D0F45">
        <w:rPr>
          <w:sz w:val="22"/>
          <w:szCs w:val="22"/>
        </w:rPr>
        <w:t xml:space="preserve"> 2002.</w:t>
      </w:r>
    </w:p>
    <w:p w:rsidR="007D0F45" w:rsidRPr="007D0F45" w:rsidRDefault="003340A7" w:rsidP="007D0F45">
      <w:pPr>
        <w:ind w:left="426" w:hanging="426"/>
        <w:rPr>
          <w:sz w:val="22"/>
          <w:szCs w:val="22"/>
        </w:rPr>
      </w:pPr>
      <w:r>
        <w:rPr>
          <w:sz w:val="22"/>
          <w:szCs w:val="22"/>
        </w:rPr>
        <w:t>[12</w:t>
      </w:r>
      <w:r w:rsidR="007D0F45" w:rsidRPr="007D0F45">
        <w:rPr>
          <w:sz w:val="22"/>
          <w:szCs w:val="22"/>
        </w:rPr>
        <w:t>]</w:t>
      </w:r>
      <w:r w:rsidR="007D0F45" w:rsidRPr="007D0F45">
        <w:rPr>
          <w:sz w:val="22"/>
          <w:szCs w:val="22"/>
        </w:rPr>
        <w:tab/>
      </w:r>
      <w:r w:rsidR="004A6197">
        <w:rPr>
          <w:sz w:val="22"/>
          <w:szCs w:val="22"/>
        </w:rPr>
        <w:t xml:space="preserve">K. </w:t>
      </w:r>
      <w:proofErr w:type="spellStart"/>
      <w:r w:rsidR="007D0F45" w:rsidRPr="007D0F45">
        <w:rPr>
          <w:sz w:val="22"/>
          <w:szCs w:val="22"/>
        </w:rPr>
        <w:t>Adalier</w:t>
      </w:r>
      <w:proofErr w:type="spellEnd"/>
      <w:r w:rsidR="007D0F45" w:rsidRPr="007D0F45">
        <w:rPr>
          <w:sz w:val="22"/>
          <w:szCs w:val="22"/>
        </w:rPr>
        <w:t xml:space="preserve">, </w:t>
      </w:r>
      <w:r w:rsidR="004A6197">
        <w:rPr>
          <w:sz w:val="22"/>
          <w:szCs w:val="22"/>
        </w:rPr>
        <w:t>A.</w:t>
      </w:r>
      <w:r w:rsidR="007D0F45" w:rsidRPr="007D0F45">
        <w:rPr>
          <w:sz w:val="22"/>
          <w:szCs w:val="22"/>
        </w:rPr>
        <w:t xml:space="preserve"> </w:t>
      </w:r>
      <w:proofErr w:type="spellStart"/>
      <w:r w:rsidR="007D0F45" w:rsidRPr="007D0F45">
        <w:rPr>
          <w:sz w:val="22"/>
          <w:szCs w:val="22"/>
        </w:rPr>
        <w:t>Elgamal</w:t>
      </w:r>
      <w:proofErr w:type="spellEnd"/>
      <w:r w:rsidR="007D0F45" w:rsidRPr="007D0F45">
        <w:rPr>
          <w:sz w:val="22"/>
          <w:szCs w:val="22"/>
        </w:rPr>
        <w:t xml:space="preserve">, “Mitigation of </w:t>
      </w:r>
      <w:r w:rsidR="00F83148" w:rsidRPr="007D0F45">
        <w:rPr>
          <w:sz w:val="22"/>
          <w:szCs w:val="22"/>
        </w:rPr>
        <w:t>liquefaction and associated ground deformations by stone columns</w:t>
      </w:r>
      <w:r w:rsidR="007D0F45" w:rsidRPr="007D0F45">
        <w:rPr>
          <w:sz w:val="22"/>
          <w:szCs w:val="22"/>
        </w:rPr>
        <w:t>”</w:t>
      </w:r>
      <w:r w:rsidR="004A6197">
        <w:rPr>
          <w:sz w:val="22"/>
          <w:szCs w:val="22"/>
        </w:rPr>
        <w:t>,</w:t>
      </w:r>
      <w:r w:rsidR="007D0F45" w:rsidRPr="007D0F45">
        <w:rPr>
          <w:sz w:val="22"/>
          <w:szCs w:val="22"/>
        </w:rPr>
        <w:t xml:space="preserve"> </w:t>
      </w:r>
      <w:r w:rsidR="007D0F45" w:rsidRPr="004A6197">
        <w:rPr>
          <w:i/>
          <w:sz w:val="22"/>
          <w:szCs w:val="22"/>
        </w:rPr>
        <w:t>Engineering Geology</w:t>
      </w:r>
      <w:r w:rsidR="007D0F45" w:rsidRPr="007D0F45">
        <w:rPr>
          <w:sz w:val="22"/>
          <w:szCs w:val="22"/>
        </w:rPr>
        <w:t xml:space="preserve">, </w:t>
      </w:r>
      <w:r w:rsidR="004A6197">
        <w:rPr>
          <w:sz w:val="22"/>
          <w:szCs w:val="22"/>
        </w:rPr>
        <w:t xml:space="preserve">vol. </w:t>
      </w:r>
      <w:r w:rsidR="007D0F45" w:rsidRPr="007D0F45">
        <w:rPr>
          <w:sz w:val="22"/>
          <w:szCs w:val="22"/>
        </w:rPr>
        <w:t>72</w:t>
      </w:r>
      <w:r w:rsidR="004A6197">
        <w:rPr>
          <w:sz w:val="22"/>
          <w:szCs w:val="22"/>
        </w:rPr>
        <w:t>,</w:t>
      </w:r>
      <w:r w:rsidR="007D0F45" w:rsidRPr="007D0F45">
        <w:rPr>
          <w:sz w:val="22"/>
          <w:szCs w:val="22"/>
        </w:rPr>
        <w:t xml:space="preserve"> </w:t>
      </w:r>
      <w:r w:rsidR="004A6197">
        <w:rPr>
          <w:sz w:val="22"/>
          <w:szCs w:val="22"/>
        </w:rPr>
        <w:t xml:space="preserve">pp. </w:t>
      </w:r>
      <w:r w:rsidR="007D0F45" w:rsidRPr="007D0F45">
        <w:rPr>
          <w:sz w:val="22"/>
          <w:szCs w:val="22"/>
        </w:rPr>
        <w:t>275-291</w:t>
      </w:r>
      <w:r w:rsidR="004A6197">
        <w:rPr>
          <w:sz w:val="22"/>
          <w:szCs w:val="22"/>
        </w:rPr>
        <w:t>,</w:t>
      </w:r>
      <w:r w:rsidR="007D0F45" w:rsidRPr="007D0F45">
        <w:rPr>
          <w:sz w:val="22"/>
          <w:szCs w:val="22"/>
        </w:rPr>
        <w:t xml:space="preserve"> 2004. </w:t>
      </w:r>
    </w:p>
    <w:p w:rsidR="007D0F45" w:rsidRPr="007D0F45" w:rsidRDefault="003340A7" w:rsidP="007D0F45">
      <w:pPr>
        <w:ind w:left="426" w:hanging="426"/>
        <w:rPr>
          <w:sz w:val="22"/>
          <w:szCs w:val="22"/>
        </w:rPr>
      </w:pPr>
      <w:r>
        <w:rPr>
          <w:sz w:val="22"/>
          <w:szCs w:val="22"/>
        </w:rPr>
        <w:t>[13</w:t>
      </w:r>
      <w:r w:rsidR="007D0F45" w:rsidRPr="007D0F45">
        <w:rPr>
          <w:sz w:val="22"/>
          <w:szCs w:val="22"/>
        </w:rPr>
        <w:t>]</w:t>
      </w:r>
      <w:r w:rsidR="007D0F45" w:rsidRPr="007D0F45">
        <w:rPr>
          <w:sz w:val="22"/>
          <w:szCs w:val="22"/>
        </w:rPr>
        <w:tab/>
      </w:r>
      <w:r w:rsidR="009E1CB6">
        <w:rPr>
          <w:sz w:val="22"/>
          <w:szCs w:val="22"/>
        </w:rPr>
        <w:t xml:space="preserve">W. </w:t>
      </w:r>
      <w:r w:rsidR="007D0F45" w:rsidRPr="007D0F45">
        <w:rPr>
          <w:sz w:val="22"/>
          <w:szCs w:val="22"/>
        </w:rPr>
        <w:t xml:space="preserve">Cheng, “Development of an in </w:t>
      </w:r>
      <w:r w:rsidR="00D52808" w:rsidRPr="007D0F45">
        <w:rPr>
          <w:sz w:val="22"/>
          <w:szCs w:val="22"/>
        </w:rPr>
        <w:t>situ dynamic liquefaction test</w:t>
      </w:r>
      <w:r w:rsidR="007D0F45" w:rsidRPr="007D0F45">
        <w:rPr>
          <w:sz w:val="22"/>
          <w:szCs w:val="22"/>
        </w:rPr>
        <w:t xml:space="preserve">”, </w:t>
      </w:r>
      <w:proofErr w:type="spellStart"/>
      <w:proofErr w:type="gramStart"/>
      <w:r w:rsidR="007D0F45" w:rsidRPr="007D0F45">
        <w:rPr>
          <w:sz w:val="22"/>
          <w:szCs w:val="22"/>
        </w:rPr>
        <w:t>Ph.D</w:t>
      </w:r>
      <w:proofErr w:type="spellEnd"/>
      <w:proofErr w:type="gramEnd"/>
      <w:r w:rsidR="007D0F45" w:rsidRPr="007D0F45">
        <w:rPr>
          <w:sz w:val="22"/>
          <w:szCs w:val="22"/>
        </w:rPr>
        <w:t xml:space="preserve"> </w:t>
      </w:r>
      <w:r w:rsidR="00D52808">
        <w:rPr>
          <w:sz w:val="22"/>
          <w:szCs w:val="22"/>
        </w:rPr>
        <w:t xml:space="preserve">dissertation, </w:t>
      </w:r>
      <w:r w:rsidR="00D52808" w:rsidRPr="007D0F45">
        <w:rPr>
          <w:sz w:val="22"/>
          <w:szCs w:val="22"/>
        </w:rPr>
        <w:t xml:space="preserve">Texas </w:t>
      </w:r>
      <w:r w:rsidR="007D0F45" w:rsidRPr="007D0F45">
        <w:rPr>
          <w:sz w:val="22"/>
          <w:szCs w:val="22"/>
        </w:rPr>
        <w:t>Uni</w:t>
      </w:r>
      <w:r w:rsidR="00D52808">
        <w:rPr>
          <w:sz w:val="22"/>
          <w:szCs w:val="22"/>
        </w:rPr>
        <w:t xml:space="preserve">., Austin, </w:t>
      </w:r>
      <w:r w:rsidR="007D0F45" w:rsidRPr="007D0F45">
        <w:rPr>
          <w:sz w:val="22"/>
          <w:szCs w:val="22"/>
        </w:rPr>
        <w:t>2002.</w:t>
      </w:r>
    </w:p>
    <w:p w:rsidR="007D0F45" w:rsidRPr="007D0F45" w:rsidRDefault="003340A7" w:rsidP="007D0F45">
      <w:pPr>
        <w:ind w:left="426" w:hanging="426"/>
        <w:rPr>
          <w:sz w:val="22"/>
          <w:szCs w:val="22"/>
        </w:rPr>
      </w:pPr>
      <w:r>
        <w:rPr>
          <w:sz w:val="22"/>
          <w:szCs w:val="22"/>
        </w:rPr>
        <w:t>[14</w:t>
      </w:r>
      <w:r w:rsidR="007D0F45" w:rsidRPr="007D0F45">
        <w:rPr>
          <w:sz w:val="22"/>
          <w:szCs w:val="22"/>
        </w:rPr>
        <w:t>]</w:t>
      </w:r>
      <w:r w:rsidR="007D0F45" w:rsidRPr="007D0F45">
        <w:rPr>
          <w:sz w:val="22"/>
          <w:szCs w:val="22"/>
        </w:rPr>
        <w:tab/>
      </w:r>
      <w:r w:rsidR="00D52808">
        <w:rPr>
          <w:sz w:val="22"/>
          <w:szCs w:val="22"/>
        </w:rPr>
        <w:t>C.</w:t>
      </w:r>
      <w:r w:rsidR="00D52808" w:rsidRPr="007D0F45">
        <w:rPr>
          <w:sz w:val="22"/>
          <w:szCs w:val="22"/>
        </w:rPr>
        <w:t xml:space="preserve"> </w:t>
      </w:r>
      <w:proofErr w:type="spellStart"/>
      <w:r w:rsidR="007D0F45" w:rsidRPr="007D0F45">
        <w:rPr>
          <w:sz w:val="22"/>
          <w:szCs w:val="22"/>
        </w:rPr>
        <w:t>Yunmin</w:t>
      </w:r>
      <w:proofErr w:type="spellEnd"/>
      <w:r w:rsidR="007D0F45" w:rsidRPr="007D0F45">
        <w:rPr>
          <w:sz w:val="22"/>
          <w:szCs w:val="22"/>
        </w:rPr>
        <w:t xml:space="preserve">, </w:t>
      </w:r>
      <w:r w:rsidR="00D52808">
        <w:rPr>
          <w:sz w:val="22"/>
          <w:szCs w:val="22"/>
        </w:rPr>
        <w:t>K. Han, C.</w:t>
      </w:r>
      <w:r w:rsidR="007D0F45" w:rsidRPr="007D0F45">
        <w:rPr>
          <w:sz w:val="22"/>
          <w:szCs w:val="22"/>
        </w:rPr>
        <w:t xml:space="preserve"> Ren-</w:t>
      </w:r>
      <w:proofErr w:type="spellStart"/>
      <w:r w:rsidR="007D0F45" w:rsidRPr="007D0F45">
        <w:rPr>
          <w:sz w:val="22"/>
          <w:szCs w:val="22"/>
        </w:rPr>
        <w:t>peng</w:t>
      </w:r>
      <w:proofErr w:type="spellEnd"/>
      <w:r w:rsidR="007D0F45" w:rsidRPr="007D0F45">
        <w:rPr>
          <w:sz w:val="22"/>
          <w:szCs w:val="22"/>
        </w:rPr>
        <w:t>, “Correlation of</w:t>
      </w:r>
      <w:r w:rsidR="00AC45B7" w:rsidRPr="007D0F45">
        <w:rPr>
          <w:sz w:val="22"/>
          <w:szCs w:val="22"/>
        </w:rPr>
        <w:t xml:space="preserve"> shear wave velocity with liquefaction resistance based on laboratory tests</w:t>
      </w:r>
      <w:r w:rsidR="007D0F45" w:rsidRPr="007D0F45">
        <w:rPr>
          <w:sz w:val="22"/>
          <w:szCs w:val="22"/>
        </w:rPr>
        <w:t xml:space="preserve">”, </w:t>
      </w:r>
      <w:r w:rsidR="007D0F45" w:rsidRPr="00705F3F">
        <w:rPr>
          <w:i/>
          <w:sz w:val="22"/>
          <w:szCs w:val="22"/>
        </w:rPr>
        <w:t>Soil Dynamics and Earthquake Engineering</w:t>
      </w:r>
      <w:r w:rsidR="007D0F45" w:rsidRPr="007D0F45">
        <w:rPr>
          <w:sz w:val="22"/>
          <w:szCs w:val="22"/>
        </w:rPr>
        <w:t xml:space="preserve">, </w:t>
      </w:r>
      <w:r w:rsidR="00705F3F">
        <w:rPr>
          <w:sz w:val="22"/>
          <w:szCs w:val="22"/>
        </w:rPr>
        <w:t xml:space="preserve">vol. </w:t>
      </w:r>
      <w:r w:rsidR="007D0F45" w:rsidRPr="007D0F45">
        <w:rPr>
          <w:sz w:val="22"/>
          <w:szCs w:val="22"/>
        </w:rPr>
        <w:t>25</w:t>
      </w:r>
      <w:r w:rsidR="00705F3F">
        <w:rPr>
          <w:sz w:val="22"/>
          <w:szCs w:val="22"/>
        </w:rPr>
        <w:t>,</w:t>
      </w:r>
      <w:r w:rsidR="007D0F45" w:rsidRPr="007D0F45">
        <w:rPr>
          <w:sz w:val="22"/>
          <w:szCs w:val="22"/>
        </w:rPr>
        <w:t xml:space="preserve"> </w:t>
      </w:r>
      <w:r w:rsidR="00705F3F">
        <w:rPr>
          <w:sz w:val="22"/>
          <w:szCs w:val="22"/>
        </w:rPr>
        <w:t xml:space="preserve">pp. </w:t>
      </w:r>
      <w:r w:rsidR="007D0F45" w:rsidRPr="007D0F45">
        <w:rPr>
          <w:sz w:val="22"/>
          <w:szCs w:val="22"/>
        </w:rPr>
        <w:t>461-469</w:t>
      </w:r>
      <w:r w:rsidR="00705F3F">
        <w:rPr>
          <w:sz w:val="22"/>
          <w:szCs w:val="22"/>
        </w:rPr>
        <w:t>,</w:t>
      </w:r>
      <w:r w:rsidR="007D0F45" w:rsidRPr="007D0F45">
        <w:rPr>
          <w:sz w:val="22"/>
          <w:szCs w:val="22"/>
        </w:rPr>
        <w:t xml:space="preserve"> 2005.</w:t>
      </w:r>
    </w:p>
    <w:p w:rsidR="00E9781F" w:rsidRDefault="00E9781F" w:rsidP="00976433">
      <w:pPr>
        <w:ind w:firstLine="0"/>
        <w:mirrorIndents/>
        <w:rPr>
          <w:sz w:val="22"/>
          <w:szCs w:val="22"/>
        </w:rPr>
      </w:pPr>
    </w:p>
    <w:p w:rsidR="00BF7AE8" w:rsidRPr="00942EA6" w:rsidRDefault="00BF7AE8" w:rsidP="00976433">
      <w:pPr>
        <w:ind w:firstLine="0"/>
        <w:contextualSpacing/>
        <w:mirrorIndents/>
        <w:rPr>
          <w:sz w:val="22"/>
          <w:szCs w:val="22"/>
        </w:rPr>
      </w:pPr>
    </w:p>
    <w:sectPr w:rsidR="00BF7AE8" w:rsidRPr="00942EA6" w:rsidSect="008D3DCC">
      <w:headerReference w:type="default" r:id="rId10"/>
      <w:footerReference w:type="even" r:id="rId11"/>
      <w:footerReference w:type="default" r:id="rId12"/>
      <w:headerReference w:type="first" r:id="rId13"/>
      <w:footerReference w:type="first" r:id="rId14"/>
      <w:pgSz w:w="12240" w:h="15840" w:code="1"/>
      <w:pgMar w:top="1440" w:right="680" w:bottom="1440" w:left="680" w:header="680" w:footer="68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885" w:rsidRDefault="009F5885">
      <w:r>
        <w:separator/>
      </w:r>
    </w:p>
  </w:endnote>
  <w:endnote w:type="continuationSeparator" w:id="0">
    <w:p w:rsidR="009F5885" w:rsidRDefault="009F5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02D" w:rsidRDefault="00EA202D">
    <w:pPr>
      <w:pStyle w:val="AltBilgi"/>
    </w:pPr>
  </w:p>
  <w:p w:rsidR="00EA202D" w:rsidRDefault="00EA202D"/>
  <w:p w:rsidR="00EA202D" w:rsidRDefault="00EA202D" w:rsidP="006D0AE6">
    <w:pPr>
      <w:ind w:firstLine="426"/>
    </w:pPr>
  </w:p>
  <w:p w:rsidR="00EA202D" w:rsidRDefault="00EA202D" w:rsidP="006D0AE6">
    <w:pPr>
      <w:ind w:firstLine="284"/>
    </w:pPr>
  </w:p>
  <w:p w:rsidR="00EA202D" w:rsidRDefault="00EA202D" w:rsidP="006D0AE6">
    <w:pPr>
      <w:ind w:firstLine="142"/>
    </w:pPr>
  </w:p>
  <w:p w:rsidR="00EA202D" w:rsidRDefault="00EA202D" w:rsidP="006D0AE6">
    <w:pP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02D" w:rsidRDefault="00EA202D" w:rsidP="006D0AE6">
    <w:pPr>
      <w:pStyle w:val="AltBilgi"/>
      <w:ind w:firstLine="0"/>
      <w:jc w:val="center"/>
    </w:pPr>
  </w:p>
  <w:p w:rsidR="00EA202D" w:rsidRPr="00783D6A" w:rsidRDefault="00EA202D" w:rsidP="001D244E">
    <w:pPr>
      <w:pStyle w:val="AltBilgi"/>
      <w:ind w:firstLine="0"/>
      <w:jc w:val="center"/>
      <w:rPr>
        <w:sz w:val="22"/>
      </w:rPr>
    </w:pPr>
    <w:r>
      <w:rPr>
        <w:sz w:val="22"/>
      </w:rPr>
      <w:t xml:space="preserve">ICGRE </w:t>
    </w:r>
    <w:r w:rsidR="00FC172E">
      <w:rPr>
        <w:sz w:val="22"/>
      </w:rPr>
      <w:t>134</w:t>
    </w:r>
    <w:r w:rsidRPr="00783D6A">
      <w:rPr>
        <w:sz w:val="22"/>
      </w:rPr>
      <w:t>-</w:t>
    </w:r>
    <w:r w:rsidRPr="00783D6A">
      <w:rPr>
        <w:sz w:val="22"/>
      </w:rPr>
      <w:fldChar w:fldCharType="begin"/>
    </w:r>
    <w:r w:rsidRPr="00783D6A">
      <w:rPr>
        <w:sz w:val="22"/>
      </w:rPr>
      <w:instrText xml:space="preserve"> PAGE </w:instrText>
    </w:r>
    <w:r w:rsidRPr="00783D6A">
      <w:rPr>
        <w:sz w:val="22"/>
      </w:rPr>
      <w:fldChar w:fldCharType="separate"/>
    </w:r>
    <w:r w:rsidR="00FC172E">
      <w:rPr>
        <w:noProof/>
        <w:sz w:val="22"/>
      </w:rPr>
      <w:t>5</w:t>
    </w:r>
    <w:r w:rsidRPr="00783D6A">
      <w:rPr>
        <w:noProo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02D" w:rsidRPr="004D7489" w:rsidRDefault="00EA202D" w:rsidP="001D244E">
    <w:pPr>
      <w:pStyle w:val="AltBilgi"/>
      <w:ind w:firstLine="0"/>
      <w:jc w:val="center"/>
      <w:rPr>
        <w:sz w:val="22"/>
        <w:lang w:val="sl-SI"/>
      </w:rPr>
    </w:pPr>
    <w:r>
      <w:rPr>
        <w:sz w:val="22"/>
        <w:lang w:val="sl-SI"/>
      </w:rPr>
      <w:t xml:space="preserve">ICGRE </w:t>
    </w:r>
    <w:r w:rsidR="00FC172E">
      <w:rPr>
        <w:sz w:val="22"/>
        <w:lang w:val="sl-SI"/>
      </w:rPr>
      <w:t>134</w:t>
    </w:r>
    <w:r w:rsidRPr="004D7489">
      <w:rPr>
        <w:sz w:val="22"/>
        <w:lang w:val="sl-SI"/>
      </w:rPr>
      <w:t>-</w:t>
    </w:r>
    <w:r w:rsidRPr="004D7489">
      <w:rPr>
        <w:rStyle w:val="SayfaNumaras"/>
        <w:sz w:val="22"/>
      </w:rPr>
      <w:fldChar w:fldCharType="begin"/>
    </w:r>
    <w:r w:rsidRPr="004D7489">
      <w:rPr>
        <w:rStyle w:val="SayfaNumaras"/>
        <w:sz w:val="22"/>
      </w:rPr>
      <w:instrText xml:space="preserve"> PAGE </w:instrText>
    </w:r>
    <w:r w:rsidRPr="004D7489">
      <w:rPr>
        <w:rStyle w:val="SayfaNumaras"/>
        <w:sz w:val="22"/>
      </w:rPr>
      <w:fldChar w:fldCharType="separate"/>
    </w:r>
    <w:r w:rsidR="00FC172E">
      <w:rPr>
        <w:rStyle w:val="SayfaNumaras"/>
        <w:noProof/>
        <w:sz w:val="22"/>
      </w:rPr>
      <w:t>1</w:t>
    </w:r>
    <w:r w:rsidRPr="004D7489">
      <w:rPr>
        <w:rStyle w:val="SayfaNumaras"/>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885" w:rsidRDefault="009F5885">
      <w:r>
        <w:separator/>
      </w:r>
    </w:p>
  </w:footnote>
  <w:footnote w:type="continuationSeparator" w:id="0">
    <w:p w:rsidR="009F5885" w:rsidRDefault="009F5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02D" w:rsidRDefault="00EA202D">
    <w:pPr>
      <w:pStyle w:val="stBilgi"/>
    </w:pPr>
  </w:p>
  <w:p w:rsidR="00EA202D" w:rsidRDefault="00EA202D"/>
  <w:p w:rsidR="00EA202D" w:rsidRDefault="00EA202D" w:rsidP="006D0AE6">
    <w:pPr>
      <w:ind w:firstLine="426"/>
    </w:pPr>
  </w:p>
  <w:p w:rsidR="00EA202D" w:rsidRDefault="00EA202D" w:rsidP="006D0AE6">
    <w:pPr>
      <w:ind w:firstLine="284"/>
    </w:pPr>
  </w:p>
  <w:p w:rsidR="00EA202D" w:rsidRDefault="00EA202D" w:rsidP="006D0AE6">
    <w:pPr>
      <w:ind w:firstLine="142"/>
    </w:pPr>
  </w:p>
  <w:p w:rsidR="00EA202D" w:rsidRDefault="00EA202D" w:rsidP="006D0AE6">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02D" w:rsidRPr="006D4F5A" w:rsidRDefault="00EA202D" w:rsidP="006D4F5A">
    <w:pPr>
      <w:pStyle w:val="stBilgi"/>
      <w:ind w:firstLine="0"/>
      <w:rPr>
        <w:i/>
        <w:lang w:val="en-CA"/>
      </w:rPr>
    </w:pPr>
    <w:r w:rsidRPr="006D4F5A">
      <w:rPr>
        <w:i/>
        <w:lang w:val="en-CA"/>
      </w:rPr>
      <w:t>Proceedings of the 3</w:t>
    </w:r>
    <w:r w:rsidRPr="00D02C25">
      <w:rPr>
        <w:i/>
        <w:vertAlign w:val="superscript"/>
        <w:lang w:val="en-CA"/>
      </w:rPr>
      <w:t>rd</w:t>
    </w:r>
    <w:r w:rsidRPr="006D4F5A">
      <w:rPr>
        <w:i/>
        <w:lang w:val="en-CA"/>
      </w:rPr>
      <w:t xml:space="preserve"> World Congress on Civil, Structural, and Environmental Engineering (CSEE’18)</w:t>
    </w:r>
  </w:p>
  <w:p w:rsidR="00EA202D" w:rsidRDefault="00EA202D" w:rsidP="006D4F5A">
    <w:pPr>
      <w:pStyle w:val="stBilgi"/>
      <w:ind w:firstLine="0"/>
      <w:rPr>
        <w:i/>
        <w:lang w:val="en-CA"/>
      </w:rPr>
    </w:pPr>
    <w:r w:rsidRPr="006D4F5A">
      <w:rPr>
        <w:i/>
        <w:lang w:val="en-CA"/>
      </w:rPr>
      <w:t xml:space="preserve">Budapest, Hungary – </w:t>
    </w:r>
    <w:r w:rsidRPr="00E56354">
      <w:rPr>
        <w:i/>
        <w:lang w:val="en-CA"/>
      </w:rPr>
      <w:t>April 8 - 10</w:t>
    </w:r>
    <w:r w:rsidRPr="006D4F5A">
      <w:rPr>
        <w:i/>
        <w:lang w:val="en-CA"/>
      </w:rPr>
      <w:t>, 2018</w:t>
    </w:r>
  </w:p>
  <w:p w:rsidR="00EA202D" w:rsidRDefault="00FC172E" w:rsidP="000E469E">
    <w:pPr>
      <w:pStyle w:val="stBilgi"/>
      <w:ind w:firstLine="0"/>
      <w:rPr>
        <w:i/>
        <w:lang w:val="en-CA"/>
      </w:rPr>
    </w:pPr>
    <w:r>
      <w:rPr>
        <w:i/>
        <w:lang w:val="en-CA"/>
      </w:rPr>
      <w:t>Paper No. ICGRE 134</w:t>
    </w:r>
    <w:r w:rsidR="00EA202D" w:rsidRPr="00BB455A">
      <w:rPr>
        <w:i/>
        <w:lang w:val="en-CA"/>
      </w:rPr>
      <w:t xml:space="preserve"> (The number assigned by the </w:t>
    </w:r>
    <w:proofErr w:type="spellStart"/>
    <w:r w:rsidR="00EA202D" w:rsidRPr="00BB455A">
      <w:rPr>
        <w:i/>
        <w:lang w:val="en-CA"/>
      </w:rPr>
      <w:t>OpenConf</w:t>
    </w:r>
    <w:proofErr w:type="spellEnd"/>
    <w:r w:rsidR="00EA202D" w:rsidRPr="00BB455A">
      <w:rPr>
        <w:i/>
        <w:lang w:val="en-CA"/>
      </w:rPr>
      <w:t xml:space="preserve"> System)</w:t>
    </w:r>
  </w:p>
  <w:p w:rsidR="00EA202D" w:rsidRPr="00BB455A" w:rsidRDefault="00EA202D" w:rsidP="008D3DCC">
    <w:pPr>
      <w:pStyle w:val="stBilgi"/>
      <w:ind w:firstLine="0"/>
    </w:pPr>
    <w:r>
      <w:rPr>
        <w:i/>
        <w:lang w:val="en-CA"/>
      </w:rPr>
      <w:t>DOI: TBA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44377A"/>
    <w:lvl w:ilvl="0">
      <w:start w:val="1"/>
      <w:numFmt w:val="decimal"/>
      <w:pStyle w:val="ListeNumaras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eNumaras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eNumaras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eNumaras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eMadde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eMadde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eMadde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15:restartNumberingAfterBreak="0">
    <w:nsid w:val="388F062F"/>
    <w:multiLevelType w:val="multilevel"/>
    <w:tmpl w:val="DA8A8554"/>
    <w:lvl w:ilvl="0">
      <w:start w:val="1"/>
      <w:numFmt w:val="decimal"/>
      <w:pStyle w:val="Balk1"/>
      <w:lvlText w:val="%1"/>
      <w:lvlJc w:val="left"/>
      <w:pPr>
        <w:tabs>
          <w:tab w:val="num" w:pos="855"/>
        </w:tabs>
        <w:ind w:left="510" w:hanging="510"/>
      </w:pPr>
      <w:rPr>
        <w:rFonts w:hint="default"/>
      </w:rPr>
    </w:lvl>
    <w:lvl w:ilvl="1">
      <w:start w:val="1"/>
      <w:numFmt w:val="decimal"/>
      <w:pStyle w:val="Balk2"/>
      <w:lvlText w:val="%1.%2"/>
      <w:lvlJc w:val="left"/>
      <w:pPr>
        <w:tabs>
          <w:tab w:val="num" w:pos="855"/>
        </w:tabs>
        <w:ind w:left="855" w:hanging="855"/>
      </w:pPr>
      <w:rPr>
        <w:rFonts w:hint="default"/>
      </w:rPr>
    </w:lvl>
    <w:lvl w:ilvl="2">
      <w:start w:val="1"/>
      <w:numFmt w:val="decimal"/>
      <w:pStyle w:val="Balk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82"/>
    <w:rsid w:val="00004036"/>
    <w:rsid w:val="00004CF4"/>
    <w:rsid w:val="000078A6"/>
    <w:rsid w:val="00007D26"/>
    <w:rsid w:val="00010608"/>
    <w:rsid w:val="00014941"/>
    <w:rsid w:val="000207C7"/>
    <w:rsid w:val="000213A9"/>
    <w:rsid w:val="00021A6C"/>
    <w:rsid w:val="00026BC3"/>
    <w:rsid w:val="00026D13"/>
    <w:rsid w:val="00027DD0"/>
    <w:rsid w:val="00036B63"/>
    <w:rsid w:val="00036E07"/>
    <w:rsid w:val="0004123A"/>
    <w:rsid w:val="00054FA2"/>
    <w:rsid w:val="00054FF6"/>
    <w:rsid w:val="00063599"/>
    <w:rsid w:val="00095DE1"/>
    <w:rsid w:val="000C09CA"/>
    <w:rsid w:val="000C35BD"/>
    <w:rsid w:val="000C5DA6"/>
    <w:rsid w:val="000C6488"/>
    <w:rsid w:val="000C7419"/>
    <w:rsid w:val="000E469E"/>
    <w:rsid w:val="000E6690"/>
    <w:rsid w:val="000E68A7"/>
    <w:rsid w:val="000E68EB"/>
    <w:rsid w:val="000F268D"/>
    <w:rsid w:val="000F3578"/>
    <w:rsid w:val="00101347"/>
    <w:rsid w:val="00113493"/>
    <w:rsid w:val="0011741F"/>
    <w:rsid w:val="0012421F"/>
    <w:rsid w:val="00125A5C"/>
    <w:rsid w:val="0013241C"/>
    <w:rsid w:val="00154822"/>
    <w:rsid w:val="00156AEB"/>
    <w:rsid w:val="0015799C"/>
    <w:rsid w:val="00161B5B"/>
    <w:rsid w:val="0016494C"/>
    <w:rsid w:val="001719FE"/>
    <w:rsid w:val="001726F9"/>
    <w:rsid w:val="0017676D"/>
    <w:rsid w:val="00195133"/>
    <w:rsid w:val="001A7411"/>
    <w:rsid w:val="001C2C76"/>
    <w:rsid w:val="001C3E92"/>
    <w:rsid w:val="001C6C45"/>
    <w:rsid w:val="001D244E"/>
    <w:rsid w:val="001F0C01"/>
    <w:rsid w:val="001F31EA"/>
    <w:rsid w:val="001F4C3D"/>
    <w:rsid w:val="001F57B9"/>
    <w:rsid w:val="002029F0"/>
    <w:rsid w:val="00220E8C"/>
    <w:rsid w:val="002239D7"/>
    <w:rsid w:val="00232797"/>
    <w:rsid w:val="00243A47"/>
    <w:rsid w:val="002450D0"/>
    <w:rsid w:val="00246A2A"/>
    <w:rsid w:val="0024718D"/>
    <w:rsid w:val="002478E4"/>
    <w:rsid w:val="00252C51"/>
    <w:rsid w:val="00281210"/>
    <w:rsid w:val="002976A3"/>
    <w:rsid w:val="002A062B"/>
    <w:rsid w:val="002B0A34"/>
    <w:rsid w:val="002B38FA"/>
    <w:rsid w:val="002B47A5"/>
    <w:rsid w:val="002B7D6C"/>
    <w:rsid w:val="002C0346"/>
    <w:rsid w:val="002C5633"/>
    <w:rsid w:val="002D4196"/>
    <w:rsid w:val="002D707C"/>
    <w:rsid w:val="002E19E8"/>
    <w:rsid w:val="002E3A2D"/>
    <w:rsid w:val="002E3CDF"/>
    <w:rsid w:val="002E457C"/>
    <w:rsid w:val="002F00CB"/>
    <w:rsid w:val="002F788F"/>
    <w:rsid w:val="00301701"/>
    <w:rsid w:val="0030251D"/>
    <w:rsid w:val="00322C87"/>
    <w:rsid w:val="003263B6"/>
    <w:rsid w:val="0033294F"/>
    <w:rsid w:val="0033306B"/>
    <w:rsid w:val="00333B85"/>
    <w:rsid w:val="003340A7"/>
    <w:rsid w:val="0035035F"/>
    <w:rsid w:val="0035397B"/>
    <w:rsid w:val="003571F4"/>
    <w:rsid w:val="00374491"/>
    <w:rsid w:val="00375B18"/>
    <w:rsid w:val="00387AEE"/>
    <w:rsid w:val="0039148B"/>
    <w:rsid w:val="00393AC9"/>
    <w:rsid w:val="00393D37"/>
    <w:rsid w:val="003A0B06"/>
    <w:rsid w:val="003A7E1C"/>
    <w:rsid w:val="003B1229"/>
    <w:rsid w:val="003B14CC"/>
    <w:rsid w:val="003B23F8"/>
    <w:rsid w:val="003C2698"/>
    <w:rsid w:val="003C71E9"/>
    <w:rsid w:val="003C7444"/>
    <w:rsid w:val="003D2B29"/>
    <w:rsid w:val="003D62E7"/>
    <w:rsid w:val="003E03F6"/>
    <w:rsid w:val="003E1DF9"/>
    <w:rsid w:val="003F1115"/>
    <w:rsid w:val="003F2338"/>
    <w:rsid w:val="003F2949"/>
    <w:rsid w:val="00407D83"/>
    <w:rsid w:val="00412097"/>
    <w:rsid w:val="004124A1"/>
    <w:rsid w:val="004231E9"/>
    <w:rsid w:val="00425C78"/>
    <w:rsid w:val="00425E7C"/>
    <w:rsid w:val="00426695"/>
    <w:rsid w:val="00431704"/>
    <w:rsid w:val="004334AC"/>
    <w:rsid w:val="004407FE"/>
    <w:rsid w:val="004440C6"/>
    <w:rsid w:val="00447433"/>
    <w:rsid w:val="00452AB3"/>
    <w:rsid w:val="00453FCE"/>
    <w:rsid w:val="0045608A"/>
    <w:rsid w:val="0045667B"/>
    <w:rsid w:val="00460D2D"/>
    <w:rsid w:val="0046374D"/>
    <w:rsid w:val="00471CE3"/>
    <w:rsid w:val="00474D36"/>
    <w:rsid w:val="00474D82"/>
    <w:rsid w:val="0047581A"/>
    <w:rsid w:val="004762B3"/>
    <w:rsid w:val="00476747"/>
    <w:rsid w:val="0048312F"/>
    <w:rsid w:val="00490903"/>
    <w:rsid w:val="004957D6"/>
    <w:rsid w:val="004A0EEA"/>
    <w:rsid w:val="004A6197"/>
    <w:rsid w:val="004B0034"/>
    <w:rsid w:val="004B17AB"/>
    <w:rsid w:val="004B1DEC"/>
    <w:rsid w:val="004B799E"/>
    <w:rsid w:val="004C62C9"/>
    <w:rsid w:val="004D180A"/>
    <w:rsid w:val="004D7489"/>
    <w:rsid w:val="004E1826"/>
    <w:rsid w:val="004E42AE"/>
    <w:rsid w:val="004E477E"/>
    <w:rsid w:val="004E519A"/>
    <w:rsid w:val="004E5A3D"/>
    <w:rsid w:val="004F1E83"/>
    <w:rsid w:val="004F4CF6"/>
    <w:rsid w:val="005037DF"/>
    <w:rsid w:val="0050450F"/>
    <w:rsid w:val="00504D72"/>
    <w:rsid w:val="00511ABA"/>
    <w:rsid w:val="00511DC4"/>
    <w:rsid w:val="0052675E"/>
    <w:rsid w:val="00530065"/>
    <w:rsid w:val="00533CC3"/>
    <w:rsid w:val="00543723"/>
    <w:rsid w:val="00544983"/>
    <w:rsid w:val="005455D7"/>
    <w:rsid w:val="005538EF"/>
    <w:rsid w:val="00554ED4"/>
    <w:rsid w:val="0056088B"/>
    <w:rsid w:val="005774AE"/>
    <w:rsid w:val="0058158D"/>
    <w:rsid w:val="005940BC"/>
    <w:rsid w:val="005B32C5"/>
    <w:rsid w:val="005B64A9"/>
    <w:rsid w:val="005B773A"/>
    <w:rsid w:val="005C02D6"/>
    <w:rsid w:val="005C1763"/>
    <w:rsid w:val="005D2244"/>
    <w:rsid w:val="005D6F99"/>
    <w:rsid w:val="005F1E62"/>
    <w:rsid w:val="005F4E84"/>
    <w:rsid w:val="005F5165"/>
    <w:rsid w:val="005F5373"/>
    <w:rsid w:val="006044B0"/>
    <w:rsid w:val="00605D92"/>
    <w:rsid w:val="006072FC"/>
    <w:rsid w:val="00610A3C"/>
    <w:rsid w:val="006152DB"/>
    <w:rsid w:val="0063675E"/>
    <w:rsid w:val="00637145"/>
    <w:rsid w:val="006427BD"/>
    <w:rsid w:val="00643C4C"/>
    <w:rsid w:val="006440A4"/>
    <w:rsid w:val="00650599"/>
    <w:rsid w:val="006524D9"/>
    <w:rsid w:val="0065409E"/>
    <w:rsid w:val="00657511"/>
    <w:rsid w:val="006701F5"/>
    <w:rsid w:val="0067379C"/>
    <w:rsid w:val="00674967"/>
    <w:rsid w:val="006807CF"/>
    <w:rsid w:val="00686081"/>
    <w:rsid w:val="006A4286"/>
    <w:rsid w:val="006A531F"/>
    <w:rsid w:val="006B45E5"/>
    <w:rsid w:val="006C74D0"/>
    <w:rsid w:val="006D0AE6"/>
    <w:rsid w:val="006D4F5A"/>
    <w:rsid w:val="006D6D98"/>
    <w:rsid w:val="006E5B59"/>
    <w:rsid w:val="006E6A3C"/>
    <w:rsid w:val="006F1B42"/>
    <w:rsid w:val="006F2CE9"/>
    <w:rsid w:val="006F504F"/>
    <w:rsid w:val="00705F3F"/>
    <w:rsid w:val="00712C0A"/>
    <w:rsid w:val="00713DC6"/>
    <w:rsid w:val="00716DC7"/>
    <w:rsid w:val="00737E79"/>
    <w:rsid w:val="00744F96"/>
    <w:rsid w:val="00747C3D"/>
    <w:rsid w:val="00754C7B"/>
    <w:rsid w:val="00760288"/>
    <w:rsid w:val="00777904"/>
    <w:rsid w:val="00783D6A"/>
    <w:rsid w:val="007844CC"/>
    <w:rsid w:val="007A3C7B"/>
    <w:rsid w:val="007A667A"/>
    <w:rsid w:val="007C0A76"/>
    <w:rsid w:val="007D0F45"/>
    <w:rsid w:val="007D2ADF"/>
    <w:rsid w:val="007D4855"/>
    <w:rsid w:val="007D660C"/>
    <w:rsid w:val="007F2486"/>
    <w:rsid w:val="008207A6"/>
    <w:rsid w:val="00820E49"/>
    <w:rsid w:val="00822670"/>
    <w:rsid w:val="0082654E"/>
    <w:rsid w:val="00827AE8"/>
    <w:rsid w:val="0084627A"/>
    <w:rsid w:val="008469E2"/>
    <w:rsid w:val="008501E7"/>
    <w:rsid w:val="008667EA"/>
    <w:rsid w:val="00873352"/>
    <w:rsid w:val="00874EC0"/>
    <w:rsid w:val="008841D0"/>
    <w:rsid w:val="008A1024"/>
    <w:rsid w:val="008B797E"/>
    <w:rsid w:val="008C1B29"/>
    <w:rsid w:val="008C2A95"/>
    <w:rsid w:val="008D04CE"/>
    <w:rsid w:val="008D3DCC"/>
    <w:rsid w:val="008D4882"/>
    <w:rsid w:val="008F2FF4"/>
    <w:rsid w:val="008F40A6"/>
    <w:rsid w:val="00900236"/>
    <w:rsid w:val="009129F6"/>
    <w:rsid w:val="00915D10"/>
    <w:rsid w:val="00922520"/>
    <w:rsid w:val="009332A9"/>
    <w:rsid w:val="00940790"/>
    <w:rsid w:val="00942400"/>
    <w:rsid w:val="009427CA"/>
    <w:rsid w:val="00942EA6"/>
    <w:rsid w:val="00955768"/>
    <w:rsid w:val="00961C09"/>
    <w:rsid w:val="00962E64"/>
    <w:rsid w:val="00976433"/>
    <w:rsid w:val="0097686F"/>
    <w:rsid w:val="00981AC2"/>
    <w:rsid w:val="00982A50"/>
    <w:rsid w:val="00985C52"/>
    <w:rsid w:val="00993748"/>
    <w:rsid w:val="00993D26"/>
    <w:rsid w:val="00993FB2"/>
    <w:rsid w:val="009A0797"/>
    <w:rsid w:val="009A41C9"/>
    <w:rsid w:val="009B340B"/>
    <w:rsid w:val="009B7E3A"/>
    <w:rsid w:val="009C0D09"/>
    <w:rsid w:val="009C3F09"/>
    <w:rsid w:val="009D41FC"/>
    <w:rsid w:val="009D778B"/>
    <w:rsid w:val="009E1CB6"/>
    <w:rsid w:val="009E1D60"/>
    <w:rsid w:val="009F5635"/>
    <w:rsid w:val="009F5885"/>
    <w:rsid w:val="00A00164"/>
    <w:rsid w:val="00A03035"/>
    <w:rsid w:val="00A067C7"/>
    <w:rsid w:val="00A16191"/>
    <w:rsid w:val="00A2032C"/>
    <w:rsid w:val="00A231C6"/>
    <w:rsid w:val="00A315C5"/>
    <w:rsid w:val="00A3284C"/>
    <w:rsid w:val="00A4600A"/>
    <w:rsid w:val="00A46E0E"/>
    <w:rsid w:val="00A47C1A"/>
    <w:rsid w:val="00A561CE"/>
    <w:rsid w:val="00A5660E"/>
    <w:rsid w:val="00A611FF"/>
    <w:rsid w:val="00A66AED"/>
    <w:rsid w:val="00A74BB3"/>
    <w:rsid w:val="00A759DB"/>
    <w:rsid w:val="00A76109"/>
    <w:rsid w:val="00A77868"/>
    <w:rsid w:val="00A81D02"/>
    <w:rsid w:val="00A8655C"/>
    <w:rsid w:val="00A93879"/>
    <w:rsid w:val="00A941A9"/>
    <w:rsid w:val="00AB1F29"/>
    <w:rsid w:val="00AB3114"/>
    <w:rsid w:val="00AC3E0A"/>
    <w:rsid w:val="00AC45B7"/>
    <w:rsid w:val="00AD2D0F"/>
    <w:rsid w:val="00AF2DD7"/>
    <w:rsid w:val="00AF62BE"/>
    <w:rsid w:val="00B00D37"/>
    <w:rsid w:val="00B062FA"/>
    <w:rsid w:val="00B10CD7"/>
    <w:rsid w:val="00B34F70"/>
    <w:rsid w:val="00B36BB8"/>
    <w:rsid w:val="00B4407B"/>
    <w:rsid w:val="00B477B1"/>
    <w:rsid w:val="00B47C3D"/>
    <w:rsid w:val="00B53063"/>
    <w:rsid w:val="00B62A02"/>
    <w:rsid w:val="00B707A7"/>
    <w:rsid w:val="00B808C4"/>
    <w:rsid w:val="00B8175C"/>
    <w:rsid w:val="00B84EE8"/>
    <w:rsid w:val="00B92D8F"/>
    <w:rsid w:val="00B94AC5"/>
    <w:rsid w:val="00BA503C"/>
    <w:rsid w:val="00BA5873"/>
    <w:rsid w:val="00BA61B7"/>
    <w:rsid w:val="00BB056E"/>
    <w:rsid w:val="00BB455A"/>
    <w:rsid w:val="00BC1842"/>
    <w:rsid w:val="00BE00E5"/>
    <w:rsid w:val="00BE3CEA"/>
    <w:rsid w:val="00BE7DDB"/>
    <w:rsid w:val="00BF166E"/>
    <w:rsid w:val="00BF236E"/>
    <w:rsid w:val="00BF7AE8"/>
    <w:rsid w:val="00C0387D"/>
    <w:rsid w:val="00C06A9A"/>
    <w:rsid w:val="00C10B67"/>
    <w:rsid w:val="00C11328"/>
    <w:rsid w:val="00C1166A"/>
    <w:rsid w:val="00C1489B"/>
    <w:rsid w:val="00C171C7"/>
    <w:rsid w:val="00C216C8"/>
    <w:rsid w:val="00C22C0E"/>
    <w:rsid w:val="00C23DFD"/>
    <w:rsid w:val="00C278BD"/>
    <w:rsid w:val="00C37406"/>
    <w:rsid w:val="00C422B7"/>
    <w:rsid w:val="00C50A4E"/>
    <w:rsid w:val="00C5255E"/>
    <w:rsid w:val="00C53F2D"/>
    <w:rsid w:val="00C546CB"/>
    <w:rsid w:val="00C62C19"/>
    <w:rsid w:val="00C64866"/>
    <w:rsid w:val="00C80196"/>
    <w:rsid w:val="00C86785"/>
    <w:rsid w:val="00C9050C"/>
    <w:rsid w:val="00C95558"/>
    <w:rsid w:val="00CA5FA5"/>
    <w:rsid w:val="00CA61AF"/>
    <w:rsid w:val="00CB0BF7"/>
    <w:rsid w:val="00CC10BF"/>
    <w:rsid w:val="00CD521C"/>
    <w:rsid w:val="00CD71FD"/>
    <w:rsid w:val="00CF000A"/>
    <w:rsid w:val="00D02C25"/>
    <w:rsid w:val="00D149AD"/>
    <w:rsid w:val="00D1581D"/>
    <w:rsid w:val="00D21B19"/>
    <w:rsid w:val="00D236A8"/>
    <w:rsid w:val="00D2747C"/>
    <w:rsid w:val="00D27C05"/>
    <w:rsid w:val="00D350F3"/>
    <w:rsid w:val="00D35A55"/>
    <w:rsid w:val="00D4130B"/>
    <w:rsid w:val="00D47D12"/>
    <w:rsid w:val="00D51E13"/>
    <w:rsid w:val="00D52808"/>
    <w:rsid w:val="00D52F58"/>
    <w:rsid w:val="00D52F62"/>
    <w:rsid w:val="00D60060"/>
    <w:rsid w:val="00D60208"/>
    <w:rsid w:val="00D70CAB"/>
    <w:rsid w:val="00D82FC8"/>
    <w:rsid w:val="00DA027F"/>
    <w:rsid w:val="00DA463A"/>
    <w:rsid w:val="00DB26C8"/>
    <w:rsid w:val="00DB281E"/>
    <w:rsid w:val="00DB410A"/>
    <w:rsid w:val="00DB691F"/>
    <w:rsid w:val="00DD20AF"/>
    <w:rsid w:val="00DD7D5B"/>
    <w:rsid w:val="00DE3E9C"/>
    <w:rsid w:val="00E01C24"/>
    <w:rsid w:val="00E075AB"/>
    <w:rsid w:val="00E21B1B"/>
    <w:rsid w:val="00E21F6D"/>
    <w:rsid w:val="00E3609C"/>
    <w:rsid w:val="00E42352"/>
    <w:rsid w:val="00E432BA"/>
    <w:rsid w:val="00E5252B"/>
    <w:rsid w:val="00E52540"/>
    <w:rsid w:val="00E5318A"/>
    <w:rsid w:val="00E56354"/>
    <w:rsid w:val="00E56878"/>
    <w:rsid w:val="00E627A7"/>
    <w:rsid w:val="00E628F0"/>
    <w:rsid w:val="00E62A40"/>
    <w:rsid w:val="00E6440A"/>
    <w:rsid w:val="00E64969"/>
    <w:rsid w:val="00E65E1A"/>
    <w:rsid w:val="00E74541"/>
    <w:rsid w:val="00E81348"/>
    <w:rsid w:val="00E83EB8"/>
    <w:rsid w:val="00E846AE"/>
    <w:rsid w:val="00E84A8B"/>
    <w:rsid w:val="00E960B7"/>
    <w:rsid w:val="00E9781F"/>
    <w:rsid w:val="00E97E0B"/>
    <w:rsid w:val="00EA202D"/>
    <w:rsid w:val="00EA286A"/>
    <w:rsid w:val="00EA5370"/>
    <w:rsid w:val="00EC15D7"/>
    <w:rsid w:val="00EC27DC"/>
    <w:rsid w:val="00EC70DC"/>
    <w:rsid w:val="00ED4FB3"/>
    <w:rsid w:val="00EE1FF7"/>
    <w:rsid w:val="00EE233B"/>
    <w:rsid w:val="00EE2B7F"/>
    <w:rsid w:val="00EE5374"/>
    <w:rsid w:val="00EE65E5"/>
    <w:rsid w:val="00EF1704"/>
    <w:rsid w:val="00EF44F9"/>
    <w:rsid w:val="00F05027"/>
    <w:rsid w:val="00F07773"/>
    <w:rsid w:val="00F16DF2"/>
    <w:rsid w:val="00F17D51"/>
    <w:rsid w:val="00F21E43"/>
    <w:rsid w:val="00F23EE7"/>
    <w:rsid w:val="00F3136E"/>
    <w:rsid w:val="00F343B3"/>
    <w:rsid w:val="00F507FD"/>
    <w:rsid w:val="00F509F7"/>
    <w:rsid w:val="00F53D55"/>
    <w:rsid w:val="00F54C85"/>
    <w:rsid w:val="00F712D7"/>
    <w:rsid w:val="00F80AE9"/>
    <w:rsid w:val="00F81F64"/>
    <w:rsid w:val="00F83148"/>
    <w:rsid w:val="00F84A0C"/>
    <w:rsid w:val="00F8509C"/>
    <w:rsid w:val="00FA620C"/>
    <w:rsid w:val="00FA6AC1"/>
    <w:rsid w:val="00FB143F"/>
    <w:rsid w:val="00FB4B7C"/>
    <w:rsid w:val="00FC172E"/>
    <w:rsid w:val="00FC1F82"/>
    <w:rsid w:val="00FD29E8"/>
    <w:rsid w:val="00FD47CD"/>
    <w:rsid w:val="00FF29D3"/>
    <w:rsid w:val="00FF49D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2925E8"/>
  <w15:docId w15:val="{EF577E00-FFC8-48E9-B449-74F84809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ind w:firstLine="567"/>
      <w:jc w:val="both"/>
    </w:pPr>
    <w:rPr>
      <w:sz w:val="24"/>
      <w:lang w:val="en-GB" w:eastAsia="en-US"/>
    </w:rPr>
  </w:style>
  <w:style w:type="paragraph" w:styleId="Balk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Balk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Balk3">
    <w:name w:val="heading 3"/>
    <w:basedOn w:val="Normal"/>
    <w:next w:val="Normal"/>
    <w:qFormat/>
    <w:pPr>
      <w:keepNext/>
      <w:numPr>
        <w:ilvl w:val="2"/>
        <w:numId w:val="1"/>
      </w:numPr>
      <w:spacing w:after="240"/>
      <w:outlineLvl w:val="2"/>
    </w:pPr>
  </w:style>
  <w:style w:type="paragraph" w:styleId="Balk4">
    <w:name w:val="heading 4"/>
    <w:basedOn w:val="Normal"/>
    <w:next w:val="Normal"/>
    <w:qFormat/>
    <w:pPr>
      <w:keepNext/>
      <w:spacing w:before="240" w:after="60"/>
      <w:outlineLvl w:val="3"/>
    </w:pPr>
    <w:rPr>
      <w:rFonts w:ascii="Arial" w:hAnsi="Arial"/>
      <w:b/>
    </w:rPr>
  </w:style>
  <w:style w:type="paragraph" w:styleId="Balk5">
    <w:name w:val="heading 5"/>
    <w:basedOn w:val="Normal"/>
    <w:next w:val="Normal"/>
    <w:qFormat/>
    <w:pPr>
      <w:spacing w:before="240" w:after="60"/>
      <w:outlineLvl w:val="4"/>
    </w:pPr>
    <w:rPr>
      <w:sz w:val="22"/>
    </w:rPr>
  </w:style>
  <w:style w:type="paragraph" w:styleId="Balk6">
    <w:name w:val="heading 6"/>
    <w:basedOn w:val="Normal"/>
    <w:next w:val="Normal"/>
    <w:qFormat/>
    <w:pPr>
      <w:spacing w:before="240" w:after="60"/>
      <w:outlineLvl w:val="5"/>
    </w:pPr>
    <w:rPr>
      <w:i/>
      <w:sz w:val="22"/>
    </w:rPr>
  </w:style>
  <w:style w:type="paragraph" w:styleId="Balk7">
    <w:name w:val="heading 7"/>
    <w:basedOn w:val="Normal"/>
    <w:next w:val="Normal"/>
    <w:qFormat/>
    <w:pPr>
      <w:spacing w:before="240" w:after="60"/>
      <w:outlineLvl w:val="6"/>
    </w:pPr>
    <w:rPr>
      <w:rFonts w:ascii="Arial" w:hAnsi="Arial"/>
      <w:sz w:val="20"/>
    </w:rPr>
  </w:style>
  <w:style w:type="paragraph" w:styleId="Balk8">
    <w:name w:val="heading 8"/>
    <w:basedOn w:val="Normal"/>
    <w:next w:val="Normal"/>
    <w:qFormat/>
    <w:pPr>
      <w:spacing w:before="240" w:after="60"/>
      <w:outlineLvl w:val="7"/>
    </w:pPr>
    <w:rPr>
      <w:rFonts w:ascii="Arial" w:hAnsi="Arial"/>
      <w:i/>
      <w:sz w:val="20"/>
    </w:rPr>
  </w:style>
  <w:style w:type="paragraph" w:styleId="Balk9">
    <w:name w:val="heading 9"/>
    <w:basedOn w:val="Normal"/>
    <w:next w:val="Normal"/>
    <w:qFormat/>
    <w:pPr>
      <w:spacing w:before="240" w:after="60"/>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tleofthepaper">
    <w:name w:val="Title of the paper"/>
    <w:pPr>
      <w:jc w:val="center"/>
    </w:pPr>
    <w:rPr>
      <w:rFonts w:ascii="Arial" w:hAnsi="Arial"/>
      <w:b/>
      <w:noProof/>
      <w:sz w:val="28"/>
      <w:lang w:val="en-US" w:eastAsia="en-US"/>
    </w:rPr>
  </w:style>
  <w:style w:type="paragraph" w:customStyle="1" w:styleId="Authorname">
    <w:name w:val="Author name"/>
    <w:pPr>
      <w:spacing w:before="240"/>
      <w:jc w:val="center"/>
    </w:pPr>
    <w:rPr>
      <w:b/>
      <w:sz w:val="24"/>
      <w:lang w:val="en-US" w:eastAsia="en-US"/>
    </w:rPr>
  </w:style>
  <w:style w:type="paragraph" w:customStyle="1" w:styleId="AuthorAffilliation">
    <w:name w:val="Author Affilliation"/>
    <w:pPr>
      <w:jc w:val="center"/>
    </w:pPr>
    <w:rPr>
      <w:noProof/>
      <w:sz w:val="24"/>
      <w:lang w:val="en-US" w:eastAsia="en-US"/>
    </w:rPr>
  </w:style>
  <w:style w:type="paragraph" w:customStyle="1" w:styleId="HeaderAbs">
    <w:name w:val="Header (Abs."/>
    <w:aliases w:val="Ref.,Ack.)"/>
    <w:basedOn w:val="Balk1"/>
    <w:pPr>
      <w:numPr>
        <w:numId w:val="0"/>
      </w:numPr>
    </w:pPr>
    <w:rPr>
      <w:noProof w:val="0"/>
    </w:rPr>
  </w:style>
  <w:style w:type="paragraph" w:customStyle="1" w:styleId="Reference">
    <w:name w:val="Reference"/>
    <w:basedOn w:val="Normal"/>
    <w:pPr>
      <w:numPr>
        <w:numId w:val="13"/>
      </w:numPr>
      <w:spacing w:after="240"/>
      <w:jc w:val="left"/>
    </w:pPr>
  </w:style>
  <w:style w:type="paragraph" w:styleId="stBilgi">
    <w:name w:val="header"/>
    <w:basedOn w:val="Normal"/>
    <w:pPr>
      <w:tabs>
        <w:tab w:val="center" w:pos="4153"/>
        <w:tab w:val="right" w:pos="9072"/>
      </w:tabs>
    </w:pPr>
    <w:rPr>
      <w:sz w:val="18"/>
      <w:lang w:val="en-US"/>
    </w:rPr>
  </w:style>
  <w:style w:type="paragraph" w:styleId="AltBilgi">
    <w:name w:val="footer"/>
    <w:basedOn w:val="Normal"/>
    <w:link w:val="AltBilgiChar"/>
    <w:pPr>
      <w:tabs>
        <w:tab w:val="center" w:pos="4153"/>
        <w:tab w:val="right" w:pos="8306"/>
      </w:tabs>
    </w:pPr>
    <w:rPr>
      <w:sz w:val="18"/>
      <w:lang w:val="en-US"/>
    </w:rPr>
  </w:style>
  <w:style w:type="paragraph" w:styleId="ResimYazs">
    <w:name w:val="caption"/>
    <w:basedOn w:val="Normal"/>
    <w:next w:val="Normal"/>
    <w:qFormat/>
    <w:pPr>
      <w:spacing w:before="120" w:after="120"/>
      <w:jc w:val="center"/>
    </w:pPr>
    <w:rPr>
      <w:lang w:val="en-US"/>
    </w:rPr>
  </w:style>
  <w:style w:type="character" w:styleId="Kpr">
    <w:name w:val="Hyperlink"/>
    <w:basedOn w:val="VarsaylanParagrafYazTipi"/>
    <w:rPr>
      <w:color w:val="0000FF"/>
      <w:u w:val="single"/>
    </w:rPr>
  </w:style>
  <w:style w:type="character" w:styleId="SayfaNumaras">
    <w:name w:val="page number"/>
    <w:basedOn w:val="VarsaylanParagrafYazTipi"/>
  </w:style>
  <w:style w:type="character" w:styleId="zlenenKpr">
    <w:name w:val="FollowedHyperlink"/>
    <w:basedOn w:val="VarsaylanParagrafYazTipi"/>
    <w:rPr>
      <w:color w:val="800080"/>
      <w:u w:val="single"/>
    </w:rPr>
  </w:style>
  <w:style w:type="character" w:styleId="SatrNumaras">
    <w:name w:val="line number"/>
    <w:basedOn w:val="VarsaylanParagrafYazTipi"/>
  </w:style>
  <w:style w:type="paragraph" w:styleId="bekMetni">
    <w:name w:val="Block Text"/>
    <w:basedOn w:val="Normal"/>
    <w:pPr>
      <w:spacing w:after="120"/>
      <w:ind w:left="1440" w:right="1440"/>
    </w:pPr>
  </w:style>
  <w:style w:type="paragraph" w:styleId="GvdeMetni">
    <w:name w:val="Body Text"/>
    <w:basedOn w:val="Normal"/>
    <w:pPr>
      <w:spacing w:after="120"/>
    </w:pPr>
  </w:style>
  <w:style w:type="paragraph" w:styleId="GvdeMetni2">
    <w:name w:val="Body Text 2"/>
    <w:basedOn w:val="Normal"/>
    <w:pPr>
      <w:spacing w:after="120" w:line="480" w:lineRule="auto"/>
    </w:pPr>
  </w:style>
  <w:style w:type="paragraph" w:styleId="GvdeMetni3">
    <w:name w:val="Body Text 3"/>
    <w:basedOn w:val="Normal"/>
    <w:pPr>
      <w:spacing w:after="120"/>
    </w:pPr>
    <w:rPr>
      <w:sz w:val="16"/>
    </w:rPr>
  </w:style>
  <w:style w:type="paragraph" w:styleId="GvdeMetnilkGirintisi">
    <w:name w:val="Body Text First Indent"/>
    <w:basedOn w:val="GvdeMetni"/>
    <w:pPr>
      <w:ind w:firstLine="210"/>
    </w:pPr>
  </w:style>
  <w:style w:type="paragraph" w:styleId="GvdeMetniGirintisi">
    <w:name w:val="Body Text Indent"/>
    <w:basedOn w:val="Normal"/>
    <w:pPr>
      <w:spacing w:after="120"/>
      <w:ind w:left="283"/>
    </w:pPr>
  </w:style>
  <w:style w:type="paragraph" w:styleId="GvdeMetnilkGirintisi2">
    <w:name w:val="Body Text First Indent 2"/>
    <w:basedOn w:val="GvdeMetniGirintisi"/>
    <w:pPr>
      <w:ind w:firstLine="210"/>
    </w:pPr>
  </w:style>
  <w:style w:type="paragraph" w:styleId="GvdeMetniGirintisi2">
    <w:name w:val="Body Text Indent 2"/>
    <w:basedOn w:val="Normal"/>
    <w:pPr>
      <w:spacing w:after="120" w:line="480" w:lineRule="auto"/>
      <w:ind w:left="283"/>
    </w:pPr>
  </w:style>
  <w:style w:type="paragraph" w:styleId="GvdeMetniGirintisi3">
    <w:name w:val="Body Text Indent 3"/>
    <w:basedOn w:val="Normal"/>
    <w:pPr>
      <w:spacing w:after="120"/>
      <w:ind w:left="283"/>
    </w:pPr>
    <w:rPr>
      <w:sz w:val="16"/>
    </w:rPr>
  </w:style>
  <w:style w:type="paragraph" w:styleId="Kapan">
    <w:name w:val="Closing"/>
    <w:basedOn w:val="Normal"/>
    <w:pPr>
      <w:ind w:left="4252"/>
    </w:pPr>
  </w:style>
  <w:style w:type="paragraph" w:styleId="AklamaMetni">
    <w:name w:val="annotation text"/>
    <w:basedOn w:val="Normal"/>
    <w:link w:val="AklamaMetniChar"/>
    <w:semiHidden/>
    <w:rPr>
      <w:sz w:val="20"/>
    </w:rPr>
  </w:style>
  <w:style w:type="paragraph" w:styleId="Tarih">
    <w:name w:val="Date"/>
    <w:basedOn w:val="Normal"/>
    <w:next w:val="Normal"/>
  </w:style>
  <w:style w:type="paragraph" w:styleId="BelgeBalantlar">
    <w:name w:val="Document Map"/>
    <w:basedOn w:val="Normal"/>
    <w:semiHidden/>
    <w:pPr>
      <w:shd w:val="clear" w:color="auto" w:fill="000080"/>
    </w:pPr>
    <w:rPr>
      <w:rFonts w:ascii="Tahoma" w:hAnsi="Tahoma"/>
    </w:rPr>
  </w:style>
  <w:style w:type="paragraph" w:styleId="SonNotMetni">
    <w:name w:val="endnote text"/>
    <w:basedOn w:val="Normal"/>
    <w:semiHidden/>
    <w:rPr>
      <w:sz w:val="20"/>
    </w:rPr>
  </w:style>
  <w:style w:type="paragraph" w:styleId="MektupAdresi">
    <w:name w:val="envelope address"/>
    <w:basedOn w:val="Normal"/>
    <w:pPr>
      <w:framePr w:w="7920" w:h="1980" w:hRule="exact" w:hSpace="180" w:wrap="auto" w:hAnchor="page" w:xAlign="center" w:yAlign="bottom"/>
      <w:ind w:left="2880"/>
    </w:pPr>
    <w:rPr>
      <w:rFonts w:ascii="Arial" w:hAnsi="Arial"/>
    </w:rPr>
  </w:style>
  <w:style w:type="paragraph" w:styleId="ZarfDn">
    <w:name w:val="envelope return"/>
    <w:basedOn w:val="Normal"/>
    <w:rPr>
      <w:rFonts w:ascii="Arial" w:hAnsi="Arial"/>
      <w:sz w:val="20"/>
    </w:rPr>
  </w:style>
  <w:style w:type="paragraph" w:styleId="DipnotMetni">
    <w:name w:val="footnote text"/>
    <w:basedOn w:val="Normal"/>
    <w:semiHidden/>
    <w:rPr>
      <w:sz w:val="20"/>
    </w:rPr>
  </w:style>
  <w:style w:type="paragraph" w:styleId="Dizin1">
    <w:name w:val="index 1"/>
    <w:basedOn w:val="Normal"/>
    <w:next w:val="Normal"/>
    <w:autoRedefine/>
    <w:semiHidden/>
    <w:pPr>
      <w:ind w:left="240" w:hanging="240"/>
    </w:pPr>
  </w:style>
  <w:style w:type="paragraph" w:styleId="Dizin2">
    <w:name w:val="index 2"/>
    <w:basedOn w:val="Normal"/>
    <w:next w:val="Normal"/>
    <w:autoRedefine/>
    <w:semiHidden/>
    <w:pPr>
      <w:ind w:left="480" w:hanging="240"/>
    </w:pPr>
  </w:style>
  <w:style w:type="paragraph" w:styleId="Dizin3">
    <w:name w:val="index 3"/>
    <w:basedOn w:val="Normal"/>
    <w:next w:val="Normal"/>
    <w:autoRedefine/>
    <w:semiHidden/>
    <w:pPr>
      <w:ind w:left="720" w:hanging="240"/>
    </w:pPr>
  </w:style>
  <w:style w:type="paragraph" w:styleId="Dizin4">
    <w:name w:val="index 4"/>
    <w:basedOn w:val="Normal"/>
    <w:next w:val="Normal"/>
    <w:autoRedefine/>
    <w:semiHidden/>
    <w:pPr>
      <w:ind w:left="960" w:hanging="240"/>
    </w:pPr>
  </w:style>
  <w:style w:type="paragraph" w:styleId="Dizin5">
    <w:name w:val="index 5"/>
    <w:basedOn w:val="Normal"/>
    <w:next w:val="Normal"/>
    <w:autoRedefine/>
    <w:semiHidden/>
    <w:pPr>
      <w:ind w:left="1200" w:hanging="240"/>
    </w:pPr>
  </w:style>
  <w:style w:type="paragraph" w:styleId="Dizin6">
    <w:name w:val="index 6"/>
    <w:basedOn w:val="Normal"/>
    <w:next w:val="Normal"/>
    <w:autoRedefine/>
    <w:semiHidden/>
    <w:pPr>
      <w:ind w:left="1440" w:hanging="240"/>
    </w:pPr>
  </w:style>
  <w:style w:type="paragraph" w:styleId="Dizin7">
    <w:name w:val="index 7"/>
    <w:basedOn w:val="Normal"/>
    <w:next w:val="Normal"/>
    <w:autoRedefine/>
    <w:semiHidden/>
    <w:pPr>
      <w:ind w:left="1680" w:hanging="240"/>
    </w:pPr>
  </w:style>
  <w:style w:type="paragraph" w:styleId="Dizin8">
    <w:name w:val="index 8"/>
    <w:basedOn w:val="Normal"/>
    <w:next w:val="Normal"/>
    <w:autoRedefine/>
    <w:semiHidden/>
    <w:pPr>
      <w:ind w:left="1920" w:hanging="240"/>
    </w:pPr>
  </w:style>
  <w:style w:type="paragraph" w:styleId="Dizin9">
    <w:name w:val="index 9"/>
    <w:basedOn w:val="Normal"/>
    <w:next w:val="Normal"/>
    <w:autoRedefine/>
    <w:semiHidden/>
    <w:pPr>
      <w:ind w:left="2160" w:hanging="240"/>
    </w:pPr>
  </w:style>
  <w:style w:type="paragraph" w:styleId="DizinBal">
    <w:name w:val="index heading"/>
    <w:basedOn w:val="Normal"/>
    <w:next w:val="Dizin1"/>
    <w:semiHidden/>
    <w:rPr>
      <w:rFonts w:ascii="Arial" w:hAnsi="Arial"/>
      <w:b/>
    </w:rPr>
  </w:style>
  <w:style w:type="paragraph" w:styleId="Liste">
    <w:name w:val="List"/>
    <w:basedOn w:val="Normal"/>
    <w:pPr>
      <w:ind w:left="283" w:hanging="283"/>
    </w:pPr>
  </w:style>
  <w:style w:type="paragraph" w:styleId="Liste2">
    <w:name w:val="List 2"/>
    <w:basedOn w:val="Normal"/>
    <w:pPr>
      <w:ind w:left="566" w:hanging="283"/>
    </w:pPr>
  </w:style>
  <w:style w:type="paragraph" w:styleId="Liste3">
    <w:name w:val="List 3"/>
    <w:basedOn w:val="Normal"/>
    <w:pPr>
      <w:ind w:left="849" w:hanging="283"/>
    </w:pPr>
  </w:style>
  <w:style w:type="paragraph" w:styleId="Liste4">
    <w:name w:val="List 4"/>
    <w:basedOn w:val="Normal"/>
    <w:pPr>
      <w:ind w:left="1132" w:hanging="283"/>
    </w:pPr>
  </w:style>
  <w:style w:type="paragraph" w:styleId="Liste5">
    <w:name w:val="List 5"/>
    <w:basedOn w:val="Normal"/>
    <w:pPr>
      <w:ind w:left="1415" w:hanging="283"/>
    </w:pPr>
  </w:style>
  <w:style w:type="paragraph" w:styleId="ListeMaddemi">
    <w:name w:val="List Bullet"/>
    <w:basedOn w:val="Normal"/>
    <w:autoRedefine/>
    <w:pPr>
      <w:numPr>
        <w:numId w:val="3"/>
      </w:numPr>
    </w:pPr>
  </w:style>
  <w:style w:type="paragraph" w:styleId="ListeMaddemi2">
    <w:name w:val="List Bullet 2"/>
    <w:basedOn w:val="Normal"/>
    <w:autoRedefine/>
    <w:pPr>
      <w:numPr>
        <w:numId w:val="4"/>
      </w:numPr>
    </w:pPr>
  </w:style>
  <w:style w:type="paragraph" w:styleId="ListeMaddemi3">
    <w:name w:val="List Bullet 3"/>
    <w:basedOn w:val="Normal"/>
    <w:autoRedefine/>
    <w:pPr>
      <w:numPr>
        <w:numId w:val="5"/>
      </w:numPr>
    </w:pPr>
  </w:style>
  <w:style w:type="paragraph" w:styleId="ListeMaddemi4">
    <w:name w:val="List Bullet 4"/>
    <w:basedOn w:val="Normal"/>
    <w:autoRedefine/>
    <w:pPr>
      <w:ind w:firstLine="0"/>
    </w:pPr>
  </w:style>
  <w:style w:type="paragraph" w:styleId="ListeMaddemi5">
    <w:name w:val="List Bullet 5"/>
    <w:basedOn w:val="Normal"/>
    <w:autoRedefine/>
    <w:pPr>
      <w:numPr>
        <w:numId w:val="7"/>
      </w:numPr>
    </w:pPr>
  </w:style>
  <w:style w:type="paragraph" w:styleId="ListeDevam">
    <w:name w:val="List Continue"/>
    <w:basedOn w:val="Normal"/>
    <w:pPr>
      <w:spacing w:after="120"/>
      <w:ind w:left="283"/>
    </w:pPr>
  </w:style>
  <w:style w:type="paragraph" w:styleId="ListeDevam2">
    <w:name w:val="List Continue 2"/>
    <w:basedOn w:val="Normal"/>
    <w:pPr>
      <w:spacing w:after="120"/>
      <w:ind w:left="566"/>
    </w:pPr>
  </w:style>
  <w:style w:type="paragraph" w:styleId="ListeDevam3">
    <w:name w:val="List Continue 3"/>
    <w:basedOn w:val="Normal"/>
    <w:pPr>
      <w:spacing w:after="120"/>
      <w:ind w:left="849"/>
    </w:pPr>
  </w:style>
  <w:style w:type="paragraph" w:styleId="ListeDevam4">
    <w:name w:val="List Continue 4"/>
    <w:basedOn w:val="Normal"/>
    <w:pPr>
      <w:spacing w:after="120"/>
      <w:ind w:left="1132"/>
    </w:pPr>
  </w:style>
  <w:style w:type="paragraph" w:styleId="ListeDevam5">
    <w:name w:val="List Continue 5"/>
    <w:basedOn w:val="Normal"/>
    <w:pPr>
      <w:spacing w:after="120"/>
      <w:ind w:left="1415"/>
    </w:pPr>
  </w:style>
  <w:style w:type="paragraph" w:styleId="ListeNumaras">
    <w:name w:val="List Number"/>
    <w:basedOn w:val="Normal"/>
    <w:pPr>
      <w:numPr>
        <w:numId w:val="8"/>
      </w:numPr>
    </w:pPr>
  </w:style>
  <w:style w:type="paragraph" w:styleId="ListeNumaras2">
    <w:name w:val="List Number 2"/>
    <w:basedOn w:val="Normal"/>
    <w:pPr>
      <w:numPr>
        <w:numId w:val="9"/>
      </w:numPr>
    </w:pPr>
  </w:style>
  <w:style w:type="paragraph" w:styleId="ListeNumaras3">
    <w:name w:val="List Number 3"/>
    <w:basedOn w:val="Normal"/>
    <w:pPr>
      <w:numPr>
        <w:numId w:val="10"/>
      </w:numPr>
    </w:pPr>
  </w:style>
  <w:style w:type="paragraph" w:styleId="ListeNumaras4">
    <w:name w:val="List Number 4"/>
    <w:basedOn w:val="Normal"/>
    <w:pPr>
      <w:numPr>
        <w:numId w:val="11"/>
      </w:numPr>
    </w:pPr>
  </w:style>
  <w:style w:type="paragraph" w:styleId="ListeNumaras5">
    <w:name w:val="List Number 5"/>
    <w:basedOn w:val="Normal"/>
    <w:pPr>
      <w:numPr>
        <w:numId w:val="12"/>
      </w:numPr>
    </w:pPr>
  </w:style>
  <w:style w:type="paragraph" w:styleId="MakroMetni">
    <w:name w:val="macro"/>
    <w:semiHidden/>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letistBilgisi">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Girinti">
    <w:name w:val="Normal Indent"/>
    <w:basedOn w:val="Normal"/>
    <w:pPr>
      <w:ind w:left="720"/>
    </w:pPr>
  </w:style>
  <w:style w:type="paragraph" w:styleId="NotBal">
    <w:name w:val="Note Heading"/>
    <w:basedOn w:val="Normal"/>
    <w:next w:val="Normal"/>
  </w:style>
  <w:style w:type="paragraph" w:styleId="DzMetin">
    <w:name w:val="Plain Text"/>
    <w:basedOn w:val="Normal"/>
    <w:rPr>
      <w:rFonts w:ascii="Courier New" w:hAnsi="Courier New"/>
      <w:sz w:val="20"/>
    </w:rPr>
  </w:style>
  <w:style w:type="paragraph" w:styleId="Selamlama">
    <w:name w:val="Salutation"/>
    <w:basedOn w:val="Normal"/>
    <w:next w:val="Normal"/>
  </w:style>
  <w:style w:type="paragraph" w:styleId="mza">
    <w:name w:val="Signature"/>
    <w:basedOn w:val="Normal"/>
    <w:pPr>
      <w:ind w:left="4252"/>
    </w:pPr>
  </w:style>
  <w:style w:type="paragraph" w:styleId="Altyaz">
    <w:name w:val="Subtitle"/>
    <w:basedOn w:val="Normal"/>
    <w:qFormat/>
    <w:pPr>
      <w:spacing w:after="60"/>
      <w:jc w:val="center"/>
      <w:outlineLvl w:val="1"/>
    </w:pPr>
    <w:rPr>
      <w:rFonts w:ascii="Arial" w:hAnsi="Arial"/>
    </w:rPr>
  </w:style>
  <w:style w:type="paragraph" w:styleId="Kaynaka">
    <w:name w:val="table of authorities"/>
    <w:basedOn w:val="Normal"/>
    <w:next w:val="Normal"/>
    <w:semiHidden/>
    <w:pPr>
      <w:ind w:left="240" w:hanging="240"/>
    </w:pPr>
  </w:style>
  <w:style w:type="paragraph" w:styleId="ekillerTablosu">
    <w:name w:val="table of figures"/>
    <w:basedOn w:val="Normal"/>
    <w:next w:val="Normal"/>
    <w:semiHidden/>
    <w:pPr>
      <w:ind w:left="480" w:hanging="480"/>
    </w:pPr>
  </w:style>
  <w:style w:type="paragraph" w:styleId="KonuBal">
    <w:name w:val="Title"/>
    <w:basedOn w:val="Normal"/>
    <w:link w:val="KonuBalChar"/>
    <w:qFormat/>
    <w:pPr>
      <w:spacing w:before="240" w:after="60"/>
      <w:jc w:val="center"/>
      <w:outlineLvl w:val="0"/>
    </w:pPr>
    <w:rPr>
      <w:rFonts w:ascii="Arial" w:hAnsi="Arial"/>
      <w:b/>
      <w:kern w:val="28"/>
      <w:sz w:val="32"/>
    </w:rPr>
  </w:style>
  <w:style w:type="paragraph" w:styleId="KaynakaBal">
    <w:name w:val="toa heading"/>
    <w:basedOn w:val="Normal"/>
    <w:next w:val="Normal"/>
    <w:semiHidden/>
    <w:pPr>
      <w:spacing w:before="120"/>
    </w:pPr>
    <w:rPr>
      <w:rFonts w:ascii="Arial" w:hAnsi="Arial"/>
      <w:b/>
    </w:rPr>
  </w:style>
  <w:style w:type="paragraph" w:styleId="T1">
    <w:name w:val="toc 1"/>
    <w:basedOn w:val="Normal"/>
    <w:next w:val="Normal"/>
    <w:autoRedefine/>
    <w:semiHidden/>
  </w:style>
  <w:style w:type="paragraph" w:styleId="T2">
    <w:name w:val="toc 2"/>
    <w:basedOn w:val="Normal"/>
    <w:next w:val="Normal"/>
    <w:autoRedefine/>
    <w:semiHidden/>
    <w:pPr>
      <w:ind w:left="240"/>
    </w:pPr>
  </w:style>
  <w:style w:type="paragraph" w:styleId="T3">
    <w:name w:val="toc 3"/>
    <w:basedOn w:val="Normal"/>
    <w:next w:val="Normal"/>
    <w:autoRedefine/>
    <w:semiHidden/>
    <w:pPr>
      <w:ind w:left="480"/>
    </w:pPr>
  </w:style>
  <w:style w:type="paragraph" w:styleId="T4">
    <w:name w:val="toc 4"/>
    <w:basedOn w:val="Normal"/>
    <w:next w:val="Normal"/>
    <w:autoRedefine/>
    <w:semiHidden/>
    <w:pPr>
      <w:ind w:left="720"/>
    </w:pPr>
  </w:style>
  <w:style w:type="paragraph" w:styleId="T5">
    <w:name w:val="toc 5"/>
    <w:basedOn w:val="Normal"/>
    <w:next w:val="Normal"/>
    <w:autoRedefine/>
    <w:semiHidden/>
    <w:pPr>
      <w:ind w:left="960"/>
    </w:pPr>
  </w:style>
  <w:style w:type="paragraph" w:styleId="T6">
    <w:name w:val="toc 6"/>
    <w:basedOn w:val="Normal"/>
    <w:next w:val="Normal"/>
    <w:autoRedefine/>
    <w:semiHidden/>
    <w:pPr>
      <w:ind w:left="1200"/>
    </w:pPr>
  </w:style>
  <w:style w:type="paragraph" w:styleId="T7">
    <w:name w:val="toc 7"/>
    <w:basedOn w:val="Normal"/>
    <w:next w:val="Normal"/>
    <w:autoRedefine/>
    <w:semiHidden/>
    <w:pPr>
      <w:ind w:left="1440"/>
    </w:pPr>
  </w:style>
  <w:style w:type="paragraph" w:styleId="T8">
    <w:name w:val="toc 8"/>
    <w:basedOn w:val="Normal"/>
    <w:next w:val="Normal"/>
    <w:autoRedefine/>
    <w:semiHidden/>
    <w:pPr>
      <w:ind w:left="1680"/>
    </w:pPr>
  </w:style>
  <w:style w:type="paragraph" w:styleId="T9">
    <w:name w:val="toc 9"/>
    <w:basedOn w:val="Normal"/>
    <w:next w:val="Normal"/>
    <w:autoRedefine/>
    <w:semiHidden/>
    <w:pPr>
      <w:ind w:left="1920"/>
    </w:pPr>
  </w:style>
  <w:style w:type="paragraph" w:customStyle="1" w:styleId="References">
    <w:name w:val="References"/>
    <w:basedOn w:val="Normal"/>
    <w:pPr>
      <w:spacing w:before="40" w:line="200" w:lineRule="atLeast"/>
      <w:ind w:left="426" w:hanging="426"/>
    </w:pPr>
    <w:rPr>
      <w:sz w:val="18"/>
    </w:rPr>
  </w:style>
  <w:style w:type="character" w:styleId="AklamaBavurusu">
    <w:name w:val="annotation reference"/>
    <w:basedOn w:val="VarsaylanParagrafYazTipi"/>
    <w:semiHidden/>
    <w:rPr>
      <w:sz w:val="16"/>
    </w:rPr>
  </w:style>
  <w:style w:type="paragraph" w:customStyle="1" w:styleId="Equation">
    <w:name w:val="Equation"/>
    <w:basedOn w:val="Normal"/>
    <w:next w:val="Normal"/>
    <w:pPr>
      <w:spacing w:before="120" w:after="120" w:line="260" w:lineRule="atLeast"/>
      <w:ind w:firstLine="0"/>
    </w:pPr>
    <w:rPr>
      <w:sz w:val="22"/>
    </w:rPr>
  </w:style>
  <w:style w:type="paragraph" w:customStyle="1" w:styleId="FigureCaption">
    <w:name w:val="Figure_Caption"/>
    <w:basedOn w:val="Normal"/>
    <w:pPr>
      <w:spacing w:before="120" w:after="120"/>
      <w:ind w:firstLine="0"/>
      <w:jc w:val="center"/>
    </w:pPr>
    <w:rPr>
      <w:iCs/>
      <w:sz w:val="20"/>
      <w:szCs w:val="24"/>
    </w:rPr>
  </w:style>
  <w:style w:type="paragraph" w:customStyle="1" w:styleId="TableCaption">
    <w:name w:val="Table_Caption"/>
    <w:basedOn w:val="Normal"/>
    <w:pPr>
      <w:keepNext/>
      <w:spacing w:before="240" w:after="120"/>
      <w:ind w:firstLine="0"/>
      <w:jc w:val="center"/>
    </w:pPr>
    <w:rPr>
      <w:sz w:val="20"/>
      <w:szCs w:val="24"/>
    </w:rPr>
  </w:style>
  <w:style w:type="character" w:customStyle="1" w:styleId="CharChar">
    <w:name w:val="Char Char"/>
    <w:basedOn w:val="VarsaylanParagrafYazTipi"/>
    <w:rPr>
      <w:sz w:val="24"/>
      <w:lang w:val="en-US" w:eastAsia="en-US" w:bidi="ar-SA"/>
    </w:rPr>
  </w:style>
  <w:style w:type="character" w:styleId="Vurgu">
    <w:name w:val="Emphasis"/>
    <w:basedOn w:val="VarsaylanParagrafYazTipi"/>
    <w:uiPriority w:val="20"/>
    <w:qFormat/>
    <w:rsid w:val="0048312F"/>
    <w:rPr>
      <w:b/>
      <w:bCs/>
      <w:i w:val="0"/>
      <w:iCs w:val="0"/>
    </w:rPr>
  </w:style>
  <w:style w:type="paragraph" w:styleId="BalonMetni">
    <w:name w:val="Balloon Text"/>
    <w:basedOn w:val="Normal"/>
    <w:link w:val="BalonMetniChar"/>
    <w:rsid w:val="00A93879"/>
    <w:rPr>
      <w:rFonts w:ascii="Tahoma" w:hAnsi="Tahoma" w:cs="Tahoma"/>
      <w:sz w:val="16"/>
      <w:szCs w:val="16"/>
    </w:rPr>
  </w:style>
  <w:style w:type="character" w:customStyle="1" w:styleId="BalonMetniChar">
    <w:name w:val="Balon Metni Char"/>
    <w:basedOn w:val="VarsaylanParagrafYazTipi"/>
    <w:link w:val="BalonMetni"/>
    <w:rsid w:val="00A93879"/>
    <w:rPr>
      <w:rFonts w:ascii="Tahoma" w:hAnsi="Tahoma" w:cs="Tahoma"/>
      <w:sz w:val="16"/>
      <w:szCs w:val="16"/>
      <w:lang w:val="en-GB"/>
    </w:rPr>
  </w:style>
  <w:style w:type="paragraph" w:styleId="AklamaKonusu">
    <w:name w:val="annotation subject"/>
    <w:basedOn w:val="AklamaMetni"/>
    <w:next w:val="AklamaMetni"/>
    <w:link w:val="AklamaKonusuChar"/>
    <w:rsid w:val="008D04CE"/>
    <w:rPr>
      <w:b/>
      <w:bCs/>
    </w:rPr>
  </w:style>
  <w:style w:type="character" w:customStyle="1" w:styleId="AklamaMetniChar">
    <w:name w:val="Açıklama Metni Char"/>
    <w:basedOn w:val="VarsaylanParagrafYazTipi"/>
    <w:link w:val="AklamaMetni"/>
    <w:semiHidden/>
    <w:rsid w:val="008D04CE"/>
    <w:rPr>
      <w:lang w:val="en-GB"/>
    </w:rPr>
  </w:style>
  <w:style w:type="character" w:customStyle="1" w:styleId="AklamaKonusuChar">
    <w:name w:val="Açıklama Konusu Char"/>
    <w:basedOn w:val="AklamaMetniChar"/>
    <w:link w:val="AklamaKonusu"/>
    <w:rsid w:val="008D04CE"/>
    <w:rPr>
      <w:lang w:val="en-GB"/>
    </w:rPr>
  </w:style>
  <w:style w:type="character" w:styleId="Gl">
    <w:name w:val="Strong"/>
    <w:basedOn w:val="VarsaylanParagrafYazTipi"/>
    <w:qFormat/>
    <w:rsid w:val="002E457C"/>
    <w:rPr>
      <w:b/>
      <w:bCs/>
    </w:rPr>
  </w:style>
  <w:style w:type="table" w:styleId="TabloKlavuzu">
    <w:name w:val="Table Grid"/>
    <w:basedOn w:val="NormalTablo"/>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tBilgiChar">
    <w:name w:val="Alt Bilgi Char"/>
    <w:basedOn w:val="VarsaylanParagrafYazTipi"/>
    <w:link w:val="AltBilgi"/>
    <w:rsid w:val="00E62A40"/>
    <w:rPr>
      <w:sz w:val="18"/>
      <w:lang w:val="en-US" w:eastAsia="en-US"/>
    </w:rPr>
  </w:style>
  <w:style w:type="character" w:customStyle="1" w:styleId="KonuBalChar">
    <w:name w:val="Konu Başlığı Char"/>
    <w:basedOn w:val="VarsaylanParagrafYazTipi"/>
    <w:link w:val="KonuBal"/>
    <w:rsid w:val="001D244E"/>
    <w:rPr>
      <w:rFonts w:ascii="Arial" w:hAnsi="Arial"/>
      <w:b/>
      <w:kern w:val="28"/>
      <w:sz w:val="32"/>
      <w:lang w:val="en-GB" w:eastAsia="en-US"/>
    </w:rPr>
  </w:style>
  <w:style w:type="character" w:styleId="zmlenmeyenBahsetme">
    <w:name w:val="Unresolved Mention"/>
    <w:basedOn w:val="VarsaylanParagrafYazTipi"/>
    <w:uiPriority w:val="99"/>
    <w:semiHidden/>
    <w:unhideWhenUsed/>
    <w:rsid w:val="007D0F45"/>
    <w:rPr>
      <w:color w:val="808080"/>
      <w:shd w:val="clear" w:color="auto" w:fill="E6E6E6"/>
    </w:rPr>
  </w:style>
  <w:style w:type="paragraph" w:customStyle="1" w:styleId="WW-NormalWeb1">
    <w:name w:val="WW-Normal (Web)1"/>
    <w:basedOn w:val="Normal"/>
    <w:rsid w:val="00EE233B"/>
    <w:pPr>
      <w:spacing w:before="280" w:after="119"/>
      <w:ind w:firstLine="0"/>
      <w:jc w:val="left"/>
    </w:pPr>
    <w:rPr>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2044552291">
      <w:bodyDiv w:val="1"/>
      <w:marLeft w:val="0"/>
      <w:marRight w:val="0"/>
      <w:marTop w:val="0"/>
      <w:marBottom w:val="0"/>
      <w:divBdr>
        <w:top w:val="none" w:sz="0" w:space="0" w:color="auto"/>
        <w:left w:val="none" w:sz="0" w:space="0" w:color="auto"/>
        <w:bottom w:val="none" w:sz="0" w:space="0" w:color="auto"/>
        <w:right w:val="none" w:sz="0" w:space="0" w:color="auto"/>
      </w:divBdr>
    </w:div>
    <w:div w:id="208699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D26BE-3612-4BB1-9489-A833DADC3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380</TotalTime>
  <Pages>5</Pages>
  <Words>1930</Words>
  <Characters>11006</Characters>
  <Application>Microsoft Office Word</Application>
  <DocSecurity>0</DocSecurity>
  <Lines>91</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Conference Full Paper template</vt:lpstr>
      <vt:lpstr>Conference Full Paper template</vt:lpstr>
    </vt:vector>
  </TitlesOfParts>
  <Company/>
  <LinksUpToDate>false</LinksUpToDate>
  <CharactersWithSpaces>12911</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
  <dc:creator>International ASET Inc.</dc:creator>
  <cp:keywords/>
  <dc:description/>
  <cp:lastModifiedBy>mio mio</cp:lastModifiedBy>
  <cp:revision>238</cp:revision>
  <cp:lastPrinted>2015-08-12T15:16:00Z</cp:lastPrinted>
  <dcterms:created xsi:type="dcterms:W3CDTF">2018-01-22T08:20:00Z</dcterms:created>
  <dcterms:modified xsi:type="dcterms:W3CDTF">2018-01-25T07:01:00Z</dcterms:modified>
</cp:coreProperties>
</file>