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8"/>
        </w:rPr>
        <w:t>Microbiology Reporting Plan</w:t>
      </w:r>
    </w:p>
    <w:p>
      <w:r>
        <w:rPr>
          <w:color w:val="555F6B"/>
          <w:sz w:val="24"/>
        </w:rPr>
        <w:t>eClinicPlus+ (EMR_Dev) - test-wise result types and reporting-page changes</w:t>
      </w:r>
    </w:p>
    <w:p>
      <w:pPr>
        <w:spacing w:after="240"/>
      </w:pPr>
      <w:r>
        <w:rPr>
          <w:color w:val="555F6B"/>
          <w:sz w:val="18"/>
        </w:rPr>
        <w:t>Status: Planning  |  Scope: Lab result entry, approval and patient report  |  Date: 27 Sep 2026</w:t>
      </w:r>
    </w:p>
    <w:p>
      <w:pPr>
        <w:pStyle w:val="Heading1"/>
      </w:pPr>
      <w:r>
        <w:t>1. Summary</w:t>
      </w:r>
    </w:p>
    <w:p>
      <w:pPr>
        <w:spacing w:after="120"/>
      </w:pPr>
      <w:r>
        <w:rPr>
          <w:i w:val="0"/>
        </w:rPr>
        <w:t>Microbiology master configuration is complete: organisms, antibiotics, antibiotic panels with reporting tiers, expert rules, breakpoints, picklist values, reference ranges and all microbiology tests. Booking and sample collection already work for every microbiology test.</w:t>
      </w:r>
    </w:p>
    <w:p>
      <w:pPr>
        <w:spacing w:after="120"/>
      </w:pPr>
      <w:r>
        <w:rPr>
          <w:i w:val="0"/>
        </w:rPr>
        <w:t>The gap is reporting. Every existing result screen, and the patient PDF, loads results for a single Reporting Type (Numeric or Image). Microbiology uses four types, so most microbiology results either do not appear on any screen or do not print. This plan lists each test's type mix and the reporting changes needed.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1F3A5F"/>
          </w:tcPr>
          <w:p>
            <w:pPr>
              <w:spacing w:after="0"/>
            </w:pPr>
            <w:r/>
            <w:r>
              <w:rPr>
                <w:b/>
                <w:color w:val="FFFFFF"/>
                <w:sz w:val="19"/>
              </w:rPr>
              <w:t>Area</w:t>
            </w:r>
          </w:p>
        </w:tc>
        <w:tc>
          <w:tcPr>
            <w:tcW w:type="dxa" w:w="4819"/>
            <w:shd w:val="clear" w:color="auto" w:fill="1F3A5F"/>
          </w:tcPr>
          <w:p>
            <w:pPr>
              <w:spacing w:after="0"/>
            </w:pPr>
            <w:r/>
            <w:r>
              <w:rPr>
                <w:b/>
                <w:color w:val="FFFFFF"/>
                <w:sz w:val="19"/>
              </w:rPr>
              <w:t>Status</w:t>
            </w:r>
          </w:p>
        </w:tc>
      </w:tr>
      <w:tr>
        <w:tc>
          <w:tcPr>
            <w:tcW w:type="dxa" w:w="4819"/>
          </w:tcPr>
          <w:p>
            <w:pPr>
              <w:spacing w:after="0"/>
            </w:pPr>
            <w:r/>
            <w:r>
              <w:rPr>
                <w:b/>
                <w:sz w:val="19"/>
              </w:rPr>
              <w:t>Master configuration</w:t>
            </w:r>
          </w:p>
        </w:tc>
        <w:tc>
          <w:tcPr>
            <w:tcW w:type="dxa" w:w="4819"/>
            <w:shd w:val="clear" w:color="auto" w:fill="E8F5E9"/>
          </w:tcPr>
          <w:p>
            <w:pPr>
              <w:spacing w:after="0"/>
            </w:pPr>
            <w:r/>
            <w:r>
              <w:rPr>
                <w:b w:val="0"/>
                <w:sz w:val="19"/>
              </w:rPr>
              <w:t>Done</w:t>
            </w:r>
          </w:p>
        </w:tc>
      </w:tr>
      <w:tr>
        <w:tc>
          <w:tcPr>
            <w:tcW w:type="dxa" w:w="4819"/>
            <w:shd w:val="clear" w:color="auto" w:fill="F3F6FA"/>
          </w:tcPr>
          <w:p>
            <w:pPr>
              <w:spacing w:after="0"/>
            </w:pPr>
            <w:r/>
            <w:r>
              <w:rPr>
                <w:b/>
                <w:sz w:val="19"/>
              </w:rPr>
              <w:t>Booking and sample collection</w:t>
            </w:r>
          </w:p>
        </w:tc>
        <w:tc>
          <w:tcPr>
            <w:tcW w:type="dxa" w:w="4819"/>
            <w:shd w:val="clear" w:color="auto" w:fill="E8F5E9"/>
          </w:tcPr>
          <w:p>
            <w:pPr>
              <w:spacing w:after="0"/>
            </w:pPr>
            <w:r/>
            <w:r>
              <w:rPr>
                <w:b w:val="0"/>
                <w:sz w:val="19"/>
              </w:rPr>
              <w:t>Works</w:t>
            </w:r>
          </w:p>
        </w:tc>
      </w:tr>
      <w:tr>
        <w:tc>
          <w:tcPr>
            <w:tcW w:type="dxa" w:w="4819"/>
          </w:tcPr>
          <w:p>
            <w:pPr>
              <w:spacing w:after="0"/>
            </w:pPr>
            <w:r/>
            <w:r>
              <w:rPr>
                <w:b/>
                <w:sz w:val="19"/>
              </w:rPr>
              <w:t>Result entry, approval and print</w:t>
            </w:r>
          </w:p>
        </w:tc>
        <w:tc>
          <w:tcPr>
            <w:tcW w:type="dxa" w:w="4819"/>
            <w:shd w:val="clear" w:color="auto" w:fill="FFF3E0"/>
          </w:tcPr>
          <w:p>
            <w:pPr>
              <w:spacing w:after="0"/>
            </w:pPr>
            <w:r/>
            <w:r>
              <w:rPr>
                <w:b w:val="0"/>
                <w:sz w:val="19"/>
              </w:rPr>
              <w:t>Partial - changes in Section 5</w:t>
            </w:r>
          </w:p>
        </w:tc>
      </w:tr>
    </w:tbl>
    <w:p/>
    <w:p>
      <w:pPr>
        <w:pStyle w:val="Heading1"/>
      </w:pPr>
      <w:r>
        <w:t>2. Reporting types used by microbiology</w:t>
      </w:r>
    </w:p>
    <w:p>
      <w:pPr>
        <w:spacing w:after="120"/>
      </w:pPr>
      <w:r>
        <w:rPr>
          <w:i w:val="0"/>
        </w:rPr>
        <w:t>Every investigation (and every parameter inside a profile) has one Reporting Type. It decides which entry screen shows the result and how it is flagged.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pPr>
              <w:spacing w:after="0"/>
            </w:pPr>
            <w:r/>
            <w:r>
              <w:rPr>
                <w:b/>
                <w:color w:val="FFFFFF"/>
                <w:sz w:val="19"/>
              </w:rPr>
              <w:t>Reporting Type</w:t>
            </w:r>
          </w:p>
        </w:tc>
        <w:tc>
          <w:tcPr>
            <w:tcW w:type="dxa" w:w="2268"/>
            <w:shd w:val="clear" w:color="auto" w:fill="1F3A5F"/>
          </w:tcPr>
          <w:p>
            <w:pPr>
              <w:spacing w:after="0"/>
            </w:pPr>
            <w:r/>
            <w:r>
              <w:rPr>
                <w:b/>
                <w:color w:val="FFFFFF"/>
                <w:sz w:val="19"/>
              </w:rPr>
              <w:t>What the user enters</w:t>
            </w:r>
          </w:p>
        </w:tc>
        <w:tc>
          <w:tcPr>
            <w:tcW w:type="dxa" w:w="2835"/>
            <w:shd w:val="clear" w:color="auto" w:fill="1F3A5F"/>
          </w:tcPr>
          <w:p>
            <w:pPr>
              <w:spacing w:after="0"/>
            </w:pPr>
            <w:r/>
            <w:r>
              <w:rPr>
                <w:b/>
                <w:color w:val="FFFFFF"/>
                <w:sz w:val="19"/>
              </w:rPr>
              <w:t>Abnormal flag</w:t>
            </w:r>
          </w:p>
        </w:tc>
        <w:tc>
          <w:tcPr>
            <w:tcW w:type="dxa" w:w="2835"/>
            <w:shd w:val="clear" w:color="auto" w:fill="1F3A5F"/>
          </w:tcPr>
          <w:p>
            <w:pPr>
              <w:spacing w:after="0"/>
            </w:pPr>
            <w:r/>
            <w:r>
              <w:rPr>
                <w:b/>
                <w:color w:val="FFFFFF"/>
                <w:sz w:val="19"/>
              </w:rPr>
              <w:t>Used for</w:t>
            </w:r>
          </w:p>
        </w:tc>
      </w:tr>
      <w:tr>
        <w:tc>
          <w:tcPr>
            <w:tcW w:type="dxa" w:w="1701"/>
          </w:tcPr>
          <w:p>
            <w:pPr>
              <w:spacing w:after="0"/>
            </w:pPr>
            <w:r/>
            <w:r>
              <w:rPr>
                <w:b/>
                <w:sz w:val="19"/>
              </w:rPr>
              <w:t>Numeric</w:t>
            </w:r>
          </w:p>
        </w:tc>
        <w:tc>
          <w:tcPr>
            <w:tcW w:type="dxa" w:w="2268"/>
          </w:tcPr>
          <w:p>
            <w:pPr>
              <w:spacing w:after="0"/>
            </w:pPr>
            <w:r/>
            <w:r>
              <w:rPr>
                <w:b w:val="0"/>
                <w:sz w:val="19"/>
              </w:rPr>
              <w:t>A measured number</w:t>
            </w:r>
          </w:p>
        </w:tc>
        <w:tc>
          <w:tcPr>
            <w:tcW w:type="dxa" w:w="2835"/>
          </w:tcPr>
          <w:p>
            <w:pPr>
              <w:spacing w:after="0"/>
            </w:pPr>
            <w:r/>
            <w:r>
              <w:rPr>
                <w:b w:val="0"/>
                <w:sz w:val="19"/>
              </w:rPr>
              <w:t>Compared with Reference Range Master (H / L)</w:t>
            </w:r>
          </w:p>
        </w:tc>
        <w:tc>
          <w:tcPr>
            <w:tcW w:type="dxa" w:w="2835"/>
          </w:tcPr>
          <w:p>
            <w:pPr>
              <w:spacing w:after="0"/>
            </w:pPr>
            <w:r/>
            <w:r>
              <w:rPr>
                <w:b w:val="0"/>
                <w:sz w:val="19"/>
              </w:rPr>
              <w:t>pH, cell counts, sperm count, CSF protein</w:t>
            </w:r>
          </w:p>
        </w:tc>
      </w:tr>
      <w:tr>
        <w:tc>
          <w:tcPr>
            <w:tcW w:type="dxa" w:w="1701"/>
            <w:shd w:val="clear" w:color="auto" w:fill="F3F6FA"/>
          </w:tcPr>
          <w:p>
            <w:pPr>
              <w:spacing w:after="0"/>
            </w:pPr>
            <w:r/>
            <w:r>
              <w:rPr>
                <w:b/>
                <w:sz w:val="19"/>
              </w:rPr>
              <w:t>Select (picklist)</w:t>
            </w:r>
          </w:p>
        </w:tc>
        <w:tc>
          <w:tcPr>
            <w:tcW w:type="dxa" w:w="2268"/>
            <w:shd w:val="clear" w:color="auto" w:fill="F3F6FA"/>
          </w:tcPr>
          <w:p>
            <w:pPr>
              <w:spacing w:after="0"/>
            </w:pPr>
            <w:r/>
            <w:r>
              <w:rPr>
                <w:b w:val="0"/>
                <w:sz w:val="19"/>
              </w:rPr>
              <w:t>One value from a fixed list</w:t>
            </w:r>
          </w:p>
        </w:tc>
        <w:tc>
          <w:tcPr>
            <w:tcW w:type="dxa" w:w="2835"/>
            <w:shd w:val="clear" w:color="auto" w:fill="F3F6FA"/>
          </w:tcPr>
          <w:p>
            <w:pPr>
              <w:spacing w:after="0"/>
            </w:pPr>
            <w:r/>
            <w:r>
              <w:rPr>
                <w:b w:val="0"/>
                <w:sz w:val="19"/>
              </w:rPr>
              <w:t>Is_Abnormal on the chosen option (Parameter Option Master)</w:t>
            </w:r>
          </w:p>
        </w:tc>
        <w:tc>
          <w:tcPr>
            <w:tcW w:type="dxa" w:w="2835"/>
            <w:shd w:val="clear" w:color="auto" w:fill="F3F6FA"/>
          </w:tcPr>
          <w:p>
            <w:pPr>
              <w:spacing w:after="0"/>
            </w:pPr>
            <w:r/>
            <w:r>
              <w:rPr>
                <w:b w:val="0"/>
                <w:sz w:val="19"/>
              </w:rPr>
              <w:t>Colour, Protein grade, AFB grade</w:t>
            </w:r>
          </w:p>
        </w:tc>
      </w:tr>
      <w:tr>
        <w:tc>
          <w:tcPr>
            <w:tcW w:type="dxa" w:w="1701"/>
          </w:tcPr>
          <w:p>
            <w:pPr>
              <w:spacing w:after="0"/>
            </w:pPr>
            <w:r/>
            <w:r>
              <w:rPr>
                <w:b/>
                <w:sz w:val="19"/>
              </w:rPr>
              <w:t>Descriptive</w:t>
            </w:r>
          </w:p>
        </w:tc>
        <w:tc>
          <w:tcPr>
            <w:tcW w:type="dxa" w:w="2268"/>
          </w:tcPr>
          <w:p>
            <w:pPr>
              <w:spacing w:after="0"/>
            </w:pPr>
            <w:r/>
            <w:r>
              <w:rPr>
                <w:b w:val="0"/>
                <w:sz w:val="19"/>
              </w:rPr>
              <w:t>Narrative text from a template</w:t>
            </w:r>
          </w:p>
        </w:tc>
        <w:tc>
          <w:tcPr>
            <w:tcW w:type="dxa" w:w="2835"/>
          </w:tcPr>
          <w:p>
            <w:pPr>
              <w:spacing w:after="0"/>
            </w:pPr>
            <w:r/>
            <w:r>
              <w:rPr>
                <w:b w:val="0"/>
                <w:sz w:val="19"/>
              </w:rPr>
              <w:t>None (pathologist wording)</w:t>
            </w:r>
          </w:p>
        </w:tc>
        <w:tc>
          <w:tcPr>
            <w:tcW w:type="dxa" w:w="2835"/>
          </w:tcPr>
          <w:p>
            <w:pPr>
              <w:spacing w:after="0"/>
            </w:pPr>
            <w:r/>
            <w:r>
              <w:rPr>
                <w:b w:val="0"/>
                <w:sz w:val="19"/>
              </w:rPr>
              <w:t>Gram, KOH, Wet Mount, India Ink, Albert stains</w:t>
            </w:r>
          </w:p>
        </w:tc>
      </w:tr>
      <w:tr>
        <w:tc>
          <w:tcPr>
            <w:tcW w:type="dxa" w:w="1701"/>
            <w:shd w:val="clear" w:color="auto" w:fill="F3F6FA"/>
          </w:tcPr>
          <w:p>
            <w:pPr>
              <w:spacing w:after="0"/>
            </w:pPr>
            <w:r/>
            <w:r>
              <w:rPr>
                <w:b/>
                <w:sz w:val="19"/>
              </w:rPr>
              <w:t>Culture</w:t>
            </w:r>
          </w:p>
        </w:tc>
        <w:tc>
          <w:tcPr>
            <w:tcW w:type="dxa" w:w="2268"/>
            <w:shd w:val="clear" w:color="auto" w:fill="F3F6FA"/>
          </w:tcPr>
          <w:p>
            <w:pPr>
              <w:spacing w:after="0"/>
            </w:pPr>
            <w:r/>
            <w:r>
              <w:rPr>
                <w:b w:val="0"/>
                <w:sz w:val="19"/>
              </w:rPr>
              <w:t>Growth, organism(s), antibiotic S / I / R</w:t>
            </w:r>
          </w:p>
        </w:tc>
        <w:tc>
          <w:tcPr>
            <w:tcW w:type="dxa" w:w="2835"/>
            <w:shd w:val="clear" w:color="auto" w:fill="F3F6FA"/>
          </w:tcPr>
          <w:p>
            <w:pPr>
              <w:spacing w:after="0"/>
            </w:pPr>
            <w:r/>
            <w:r>
              <w:rPr>
                <w:b w:val="0"/>
                <w:sz w:val="19"/>
              </w:rPr>
              <w:t>Expert rules, breakpoints</w:t>
            </w:r>
          </w:p>
        </w:tc>
        <w:tc>
          <w:tcPr>
            <w:tcW w:type="dxa" w:w="2835"/>
            <w:shd w:val="clear" w:color="auto" w:fill="F3F6FA"/>
          </w:tcPr>
          <w:p>
            <w:pPr>
              <w:spacing w:after="0"/>
            </w:pPr>
            <w:r/>
            <w:r>
              <w:rPr>
                <w:b w:val="0"/>
                <w:sz w:val="19"/>
              </w:rPr>
              <w:t>All Culture &amp; Sensitivity tests</w:t>
            </w:r>
          </w:p>
        </w:tc>
      </w:tr>
      <w:tr>
        <w:tc>
          <w:tcPr>
            <w:tcW w:type="dxa" w:w="1701"/>
          </w:tcPr>
          <w:p>
            <w:pPr>
              <w:spacing w:after="0"/>
            </w:pPr>
            <w:r/>
            <w:r>
              <w:rPr>
                <w:b/>
                <w:sz w:val="19"/>
              </w:rPr>
              <w:t>Image</w:t>
            </w:r>
          </w:p>
        </w:tc>
        <w:tc>
          <w:tcPr>
            <w:tcW w:type="dxa" w:w="2268"/>
          </w:tcPr>
          <w:p>
            <w:pPr>
              <w:spacing w:after="0"/>
            </w:pPr>
            <w:r/>
            <w:r>
              <w:rPr>
                <w:b w:val="0"/>
                <w:sz w:val="19"/>
              </w:rPr>
              <w:t>Narrative text from a template</w:t>
            </w:r>
          </w:p>
        </w:tc>
        <w:tc>
          <w:tcPr>
            <w:tcW w:type="dxa" w:w="2835"/>
          </w:tcPr>
          <w:p>
            <w:pPr>
              <w:spacing w:after="0"/>
            </w:pPr>
            <w:r/>
            <w:r>
              <w:rPr>
                <w:b w:val="0"/>
                <w:sz w:val="19"/>
              </w:rPr>
              <w:t>None</w:t>
            </w:r>
          </w:p>
        </w:tc>
        <w:tc>
          <w:tcPr>
            <w:tcW w:type="dxa" w:w="2835"/>
          </w:tcPr>
          <w:p>
            <w:pPr>
              <w:spacing w:after="0"/>
            </w:pPr>
            <w:r/>
            <w:r>
              <w:rPr>
                <w:b w:val="0"/>
                <w:sz w:val="19"/>
              </w:rPr>
              <w:t>Radiology only (not microbiology)</w:t>
            </w:r>
          </w:p>
        </w:tc>
      </w:tr>
    </w:tbl>
    <w:p/>
    <w:p>
      <w:pPr>
        <w:pStyle w:val="Heading1"/>
      </w:pPr>
      <w:r>
        <w:t>3. Test-wise combination</w:t>
      </w:r>
    </w:p>
    <w:p>
      <w:pPr>
        <w:pStyle w:val="Heading2"/>
      </w:pPr>
      <w:r>
        <w:t>3.1 Profile tests (mixed Numeric + Select)</w:t>
      </w:r>
    </w:p>
    <w:p>
      <w:pPr>
        <w:spacing w:after="120"/>
      </w:pPr>
      <w:r>
        <w:rPr>
          <w:i w:val="0"/>
        </w:rPr>
        <w:t>These are ordered as one test but reported as several parameters. Sample collection creates one result row per parameter.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color="auto" w:fill="1F3A5F"/>
          </w:tcPr>
          <w:p>
            <w:pPr>
              <w:spacing w:after="0"/>
            </w:pPr>
            <w:r/>
            <w:r>
              <w:rPr>
                <w:b/>
                <w:color w:val="FFFFFF"/>
                <w:sz w:val="19"/>
              </w:rPr>
              <w:t>Test (profile)</w:t>
            </w:r>
          </w:p>
        </w:tc>
        <w:tc>
          <w:tcPr>
            <w:tcW w:type="dxa" w:w="3175"/>
            <w:shd w:val="clear" w:color="auto" w:fill="1F3A5F"/>
          </w:tcPr>
          <w:p>
            <w:pPr>
              <w:spacing w:after="0"/>
            </w:pPr>
            <w:r/>
            <w:r>
              <w:rPr>
                <w:b/>
                <w:color w:val="FFFFFF"/>
                <w:sz w:val="19"/>
              </w:rPr>
              <w:t>Numeric parameters</w:t>
            </w:r>
          </w:p>
        </w:tc>
        <w:tc>
          <w:tcPr>
            <w:tcW w:type="dxa" w:w="3742"/>
            <w:shd w:val="clear" w:color="auto" w:fill="1F3A5F"/>
          </w:tcPr>
          <w:p>
            <w:pPr>
              <w:spacing w:after="0"/>
            </w:pPr>
            <w:r/>
            <w:r>
              <w:rPr>
                <w:b/>
                <w:color w:val="FFFFFF"/>
                <w:sz w:val="19"/>
              </w:rPr>
              <w:t>Select parameters</w:t>
            </w:r>
          </w:p>
        </w:tc>
        <w:tc>
          <w:tcPr>
            <w:tcW w:type="dxa" w:w="680"/>
            <w:shd w:val="clear" w:color="auto" w:fill="1F3A5F"/>
          </w:tcPr>
          <w:p>
            <w:pPr>
              <w:spacing w:after="0"/>
            </w:pPr>
            <w:r/>
            <w:r>
              <w:rPr>
                <w:b/>
                <w:color w:val="FFFFFF"/>
                <w:sz w:val="19"/>
              </w:rPr>
              <w:t>Total</w:t>
            </w:r>
          </w:p>
        </w:tc>
      </w:tr>
      <w:tr>
        <w:tc>
          <w:tcPr>
            <w:tcW w:type="dxa" w:w="2041"/>
          </w:tcPr>
          <w:p>
            <w:pPr>
              <w:spacing w:after="0"/>
            </w:pPr>
            <w:r/>
            <w:r>
              <w:rPr>
                <w:b/>
                <w:sz w:val="19"/>
              </w:rPr>
              <w:t>Urine Routine &amp; Microscopy</w:t>
            </w:r>
          </w:p>
        </w:tc>
        <w:tc>
          <w:tcPr>
            <w:tcW w:type="dxa" w:w="3175"/>
          </w:tcPr>
          <w:p>
            <w:pPr>
              <w:spacing w:after="0"/>
            </w:pPr>
            <w:r/>
            <w:r>
              <w:rPr>
                <w:b w:val="0"/>
                <w:sz w:val="19"/>
              </w:rPr>
              <w:t>5: pH, Specific Gravity, Pus cells, RBC, Epithelial cells</w:t>
            </w:r>
          </w:p>
        </w:tc>
        <w:tc>
          <w:tcPr>
            <w:tcW w:type="dxa" w:w="3742"/>
          </w:tcPr>
          <w:p>
            <w:pPr>
              <w:spacing w:after="0"/>
            </w:pPr>
            <w:r/>
            <w:r>
              <w:rPr>
                <w:b w:val="0"/>
                <w:sz w:val="19"/>
              </w:rPr>
              <w:t>15: Colour, Appearance, Protein, Sugar, Ketone, Bile salts, Bile pigments, Urobilinogen, Blood, Nitrite, Leukocyte esterase, Casts, Crystals, Bacteria, Yeast</w:t>
            </w:r>
          </w:p>
        </w:tc>
        <w:tc>
          <w:tcPr>
            <w:tcW w:type="dxa" w:w="680"/>
          </w:tcPr>
          <w:p>
            <w:pPr>
              <w:spacing w:after="0"/>
            </w:pPr>
            <w:r/>
            <w:r>
              <w:rPr>
                <w:b w:val="0"/>
                <w:sz w:val="19"/>
              </w:rPr>
              <w:t>20</w:t>
            </w:r>
          </w:p>
        </w:tc>
      </w:tr>
      <w:tr>
        <w:tc>
          <w:tcPr>
            <w:tcW w:type="dxa" w:w="2041"/>
            <w:shd w:val="clear" w:color="auto" w:fill="F3F6FA"/>
          </w:tcPr>
          <w:p>
            <w:pPr>
              <w:spacing w:after="0"/>
            </w:pPr>
            <w:r/>
            <w:r>
              <w:rPr>
                <w:b/>
                <w:sz w:val="19"/>
              </w:rPr>
              <w:t>Stool Routine Examination</w:t>
            </w:r>
          </w:p>
        </w:tc>
        <w:tc>
          <w:tcPr>
            <w:tcW w:type="dxa" w:w="3175"/>
            <w:shd w:val="clear" w:color="auto" w:fill="F3F6FA"/>
          </w:tcPr>
          <w:p>
            <w:pPr>
              <w:spacing w:after="0"/>
            </w:pPr>
            <w:r/>
            <w:r>
              <w:rPr>
                <w:b w:val="0"/>
                <w:sz w:val="19"/>
              </w:rPr>
              <w:t>2: Pus cells, RBC</w:t>
            </w:r>
          </w:p>
        </w:tc>
        <w:tc>
          <w:tcPr>
            <w:tcW w:type="dxa" w:w="3742"/>
            <w:shd w:val="clear" w:color="auto" w:fill="F3F6FA"/>
          </w:tcPr>
          <w:p>
            <w:pPr>
              <w:spacing w:after="0"/>
            </w:pPr>
            <w:r/>
            <w:r>
              <w:rPr>
                <w:b w:val="0"/>
                <w:sz w:val="19"/>
              </w:rPr>
              <w:t>9: Colour, Consistency, Mucus, Visible blood, Reaction, Occult blood, Ova, Cysts, Trophozoites</w:t>
            </w:r>
          </w:p>
        </w:tc>
        <w:tc>
          <w:tcPr>
            <w:tcW w:type="dxa" w:w="680"/>
            <w:shd w:val="clear" w:color="auto" w:fill="F3F6FA"/>
          </w:tcPr>
          <w:p>
            <w:pPr>
              <w:spacing w:after="0"/>
            </w:pPr>
            <w:r/>
            <w:r>
              <w:rPr>
                <w:b w:val="0"/>
                <w:sz w:val="19"/>
              </w:rPr>
              <w:t>11</w:t>
            </w:r>
          </w:p>
        </w:tc>
      </w:tr>
      <w:tr>
        <w:tc>
          <w:tcPr>
            <w:tcW w:type="dxa" w:w="2041"/>
          </w:tcPr>
          <w:p>
            <w:pPr>
              <w:spacing w:after="0"/>
            </w:pPr>
            <w:r/>
            <w:r>
              <w:rPr>
                <w:b/>
                <w:sz w:val="19"/>
              </w:rPr>
              <w:t>Semen Analysis (WHO 6th ed.)</w:t>
            </w:r>
          </w:p>
        </w:tc>
        <w:tc>
          <w:tcPr>
            <w:tcW w:type="dxa" w:w="3175"/>
          </w:tcPr>
          <w:p>
            <w:pPr>
              <w:spacing w:after="0"/>
            </w:pPr>
            <w:r/>
            <w:r>
              <w:rPr>
                <w:b w:val="0"/>
                <w:sz w:val="19"/>
              </w:rPr>
              <w:t>11: Volume, pH, Concentration, Total count, Progressive motility, Non-progressive, Immotile, Morphology, Vitality, Round cells, WBC</w:t>
            </w:r>
          </w:p>
        </w:tc>
        <w:tc>
          <w:tcPr>
            <w:tcW w:type="dxa" w:w="3742"/>
          </w:tcPr>
          <w:p>
            <w:pPr>
              <w:spacing w:after="0"/>
            </w:pPr>
            <w:r/>
            <w:r>
              <w:rPr>
                <w:b w:val="0"/>
                <w:sz w:val="19"/>
              </w:rPr>
              <w:t>4: Appearance, Liquefaction, Viscosity, Agglutination</w:t>
            </w:r>
          </w:p>
        </w:tc>
        <w:tc>
          <w:tcPr>
            <w:tcW w:type="dxa" w:w="680"/>
          </w:tcPr>
          <w:p>
            <w:pPr>
              <w:spacing w:after="0"/>
            </w:pPr>
            <w:r/>
            <w:r>
              <w:rPr>
                <w:b w:val="0"/>
                <w:sz w:val="19"/>
              </w:rPr>
              <w:t>15</w:t>
            </w:r>
          </w:p>
        </w:tc>
      </w:tr>
      <w:tr>
        <w:tc>
          <w:tcPr>
            <w:tcW w:type="dxa" w:w="2041"/>
            <w:shd w:val="clear" w:color="auto" w:fill="F3F6FA"/>
          </w:tcPr>
          <w:p>
            <w:pPr>
              <w:spacing w:after="0"/>
            </w:pPr>
            <w:r/>
            <w:r>
              <w:rPr>
                <w:b/>
                <w:sz w:val="19"/>
              </w:rPr>
              <w:t>CSF Analysis</w:t>
            </w:r>
          </w:p>
        </w:tc>
        <w:tc>
          <w:tcPr>
            <w:tcW w:type="dxa" w:w="3175"/>
            <w:shd w:val="clear" w:color="auto" w:fill="F3F6FA"/>
          </w:tcPr>
          <w:p>
            <w:pPr>
              <w:spacing w:after="0"/>
            </w:pPr>
            <w:r/>
            <w:r>
              <w:rPr>
                <w:b w:val="0"/>
                <w:sz w:val="19"/>
              </w:rPr>
              <w:t>6: Protein, Glucose, Chloride, Total cells, Lymphocytes, Neutrophils</w:t>
            </w:r>
          </w:p>
        </w:tc>
        <w:tc>
          <w:tcPr>
            <w:tcW w:type="dxa" w:w="3742"/>
            <w:shd w:val="clear" w:color="auto" w:fill="F3F6FA"/>
          </w:tcPr>
          <w:p>
            <w:pPr>
              <w:spacing w:after="0"/>
            </w:pPr>
            <w:r/>
            <w:r>
              <w:rPr>
                <w:b w:val="0"/>
                <w:sz w:val="19"/>
              </w:rPr>
              <w:t>2: Appearance, Coagulum</w:t>
            </w:r>
          </w:p>
        </w:tc>
        <w:tc>
          <w:tcPr>
            <w:tcW w:type="dxa" w:w="680"/>
            <w:shd w:val="clear" w:color="auto" w:fill="F3F6FA"/>
          </w:tcPr>
          <w:p>
            <w:pPr>
              <w:spacing w:after="0"/>
            </w:pPr>
            <w:r/>
            <w:r>
              <w:rPr>
                <w:b w:val="0"/>
                <w:sz w:val="19"/>
              </w:rPr>
              <w:t>8</w:t>
            </w:r>
          </w:p>
        </w:tc>
      </w:tr>
      <w:tr>
        <w:tc>
          <w:tcPr>
            <w:tcW w:type="dxa" w:w="2041"/>
          </w:tcPr>
          <w:p>
            <w:pPr>
              <w:spacing w:after="0"/>
            </w:pPr>
            <w:r/>
            <w:r>
              <w:rPr>
                <w:b/>
                <w:sz w:val="19"/>
              </w:rPr>
              <w:t>Body Fluid Analysis (Pleural / Ascitic)</w:t>
            </w:r>
          </w:p>
        </w:tc>
        <w:tc>
          <w:tcPr>
            <w:tcW w:type="dxa" w:w="3175"/>
          </w:tcPr>
          <w:p>
            <w:pPr>
              <w:spacing w:after="0"/>
            </w:pPr>
            <w:r/>
            <w:r>
              <w:rPr>
                <w:b w:val="0"/>
                <w:sz w:val="19"/>
              </w:rPr>
              <w:t>7: Protein, Glucose, LDH, ADA, Total cells, Lymphocytes, Neutrophils</w:t>
            </w:r>
          </w:p>
        </w:tc>
        <w:tc>
          <w:tcPr>
            <w:tcW w:type="dxa" w:w="3742"/>
          </w:tcPr>
          <w:p>
            <w:pPr>
              <w:spacing w:after="0"/>
            </w:pPr>
            <w:r/>
            <w:r>
              <w:rPr>
                <w:b w:val="0"/>
                <w:sz w:val="19"/>
              </w:rPr>
              <w:t>1: Appearance</w:t>
            </w:r>
          </w:p>
        </w:tc>
        <w:tc>
          <w:tcPr>
            <w:tcW w:type="dxa" w:w="680"/>
          </w:tcPr>
          <w:p>
            <w:pPr>
              <w:spacing w:after="0"/>
            </w:pPr>
            <w:r/>
            <w:r>
              <w:rPr>
                <w:b w:val="0"/>
                <w:sz w:val="19"/>
              </w:rPr>
              <w:t>8</w:t>
            </w:r>
          </w:p>
        </w:tc>
      </w:tr>
    </w:tbl>
    <w:p/>
    <w:p>
      <w:pPr>
        <w:pStyle w:val="Heading2"/>
      </w:pPr>
      <w:r>
        <w:t>3.2 Single tests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402"/>
            <w:shd w:val="clear" w:color="auto" w:fill="1F3A5F"/>
          </w:tcPr>
          <w:p>
            <w:pPr>
              <w:spacing w:after="0"/>
            </w:pPr>
            <w:r/>
            <w:r>
              <w:rPr>
                <w:b/>
                <w:color w:val="FFFFFF"/>
                <w:sz w:val="19"/>
              </w:rPr>
              <w:t>Test</w:t>
            </w:r>
          </w:p>
        </w:tc>
        <w:tc>
          <w:tcPr>
            <w:tcW w:type="dxa" w:w="1701"/>
            <w:shd w:val="clear" w:color="auto" w:fill="1F3A5F"/>
          </w:tcPr>
          <w:p>
            <w:pPr>
              <w:spacing w:after="0"/>
            </w:pPr>
            <w:r/>
            <w:r>
              <w:rPr>
                <w:b/>
                <w:color w:val="FFFFFF"/>
                <w:sz w:val="19"/>
              </w:rPr>
              <w:t>Reporting Type</w:t>
            </w:r>
          </w:p>
        </w:tc>
        <w:tc>
          <w:tcPr>
            <w:tcW w:type="dxa" w:w="4535"/>
            <w:shd w:val="clear" w:color="auto" w:fill="1F3A5F"/>
          </w:tcPr>
          <w:p>
            <w:pPr>
              <w:spacing w:after="0"/>
            </w:pPr>
            <w:r/>
            <w:r>
              <w:rPr>
                <w:b/>
                <w:color w:val="FFFFFF"/>
                <w:sz w:val="19"/>
              </w:rPr>
              <w:t>Result</w:t>
            </w:r>
          </w:p>
        </w:tc>
      </w:tr>
      <w:tr>
        <w:tc>
          <w:tcPr>
            <w:tcW w:type="dxa" w:w="3402"/>
          </w:tcPr>
          <w:p>
            <w:pPr>
              <w:spacing w:after="0"/>
            </w:pPr>
            <w:r/>
            <w:r>
              <w:rPr>
                <w:b/>
                <w:sz w:val="19"/>
              </w:rPr>
              <w:t>Sputum for AFB (ZN Stain)</w:t>
            </w:r>
          </w:p>
        </w:tc>
        <w:tc>
          <w:tcPr>
            <w:tcW w:type="dxa" w:w="1701"/>
          </w:tcPr>
          <w:p>
            <w:pPr>
              <w:spacing w:after="0"/>
            </w:pPr>
            <w:r/>
            <w:r>
              <w:rPr>
                <w:b w:val="0"/>
                <w:sz w:val="19"/>
              </w:rPr>
              <w:t>Select</w:t>
            </w:r>
          </w:p>
        </w:tc>
        <w:tc>
          <w:tcPr>
            <w:tcW w:type="dxa" w:w="4535"/>
          </w:tcPr>
          <w:p>
            <w:pPr>
              <w:spacing w:after="0"/>
            </w:pPr>
            <w:r/>
            <w:r>
              <w:rPr>
                <w:b w:val="0"/>
                <w:sz w:val="19"/>
              </w:rPr>
              <w:t>Grade: Negative / Scanty / 1+ / 2+ / 3+</w:t>
            </w:r>
          </w:p>
        </w:tc>
      </w:tr>
      <w:tr>
        <w:tc>
          <w:tcPr>
            <w:tcW w:type="dxa" w:w="3402"/>
            <w:shd w:val="clear" w:color="auto" w:fill="F3F6FA"/>
          </w:tcPr>
          <w:p>
            <w:pPr>
              <w:spacing w:after="0"/>
            </w:pPr>
            <w:r/>
            <w:r>
              <w:rPr>
                <w:b/>
                <w:sz w:val="19"/>
              </w:rPr>
              <w:t>Gram Stain</w:t>
            </w:r>
          </w:p>
        </w:tc>
        <w:tc>
          <w:tcPr>
            <w:tcW w:type="dxa" w:w="1701"/>
            <w:shd w:val="clear" w:color="auto" w:fill="F3F6FA"/>
          </w:tcPr>
          <w:p>
            <w:pPr>
              <w:spacing w:after="0"/>
            </w:pPr>
            <w:r/>
            <w:r>
              <w:rPr>
                <w:b w:val="0"/>
                <w:sz w:val="19"/>
              </w:rPr>
              <w:t>Descriptive</w:t>
            </w:r>
          </w:p>
        </w:tc>
        <w:tc>
          <w:tcPr>
            <w:tcW w:type="dxa" w:w="4535"/>
            <w:shd w:val="clear" w:color="auto" w:fill="F3F6FA"/>
          </w:tcPr>
          <w:p>
            <w:pPr>
              <w:spacing w:after="0"/>
            </w:pPr>
            <w:r/>
            <w:r>
              <w:rPr>
                <w:b w:val="0"/>
                <w:sz w:val="19"/>
              </w:rPr>
              <w:t>Template: Specimen, Microscopy findings, Impression</w:t>
            </w:r>
          </w:p>
        </w:tc>
      </w:tr>
      <w:tr>
        <w:tc>
          <w:tcPr>
            <w:tcW w:type="dxa" w:w="3402"/>
          </w:tcPr>
          <w:p>
            <w:pPr>
              <w:spacing w:after="0"/>
            </w:pPr>
            <w:r/>
            <w:r>
              <w:rPr>
                <w:b/>
                <w:sz w:val="19"/>
              </w:rPr>
              <w:t>KOH Mount (Fungal Elements)</w:t>
            </w:r>
          </w:p>
        </w:tc>
        <w:tc>
          <w:tcPr>
            <w:tcW w:type="dxa" w:w="1701"/>
          </w:tcPr>
          <w:p>
            <w:pPr>
              <w:spacing w:after="0"/>
            </w:pPr>
            <w:r/>
            <w:r>
              <w:rPr>
                <w:b w:val="0"/>
                <w:sz w:val="19"/>
              </w:rPr>
              <w:t>Descriptive</w:t>
            </w:r>
          </w:p>
        </w:tc>
        <w:tc>
          <w:tcPr>
            <w:tcW w:type="dxa" w:w="4535"/>
          </w:tcPr>
          <w:p>
            <w:pPr>
              <w:spacing w:after="0"/>
            </w:pPr>
            <w:r/>
            <w:r>
              <w:rPr>
                <w:b w:val="0"/>
                <w:sz w:val="19"/>
              </w:rPr>
              <w:t>Template</w:t>
            </w:r>
          </w:p>
        </w:tc>
      </w:tr>
      <w:tr>
        <w:tc>
          <w:tcPr>
            <w:tcW w:type="dxa" w:w="3402"/>
            <w:shd w:val="clear" w:color="auto" w:fill="F3F6FA"/>
          </w:tcPr>
          <w:p>
            <w:pPr>
              <w:spacing w:after="0"/>
            </w:pPr>
            <w:r/>
            <w:r>
              <w:rPr>
                <w:b/>
                <w:sz w:val="19"/>
              </w:rPr>
              <w:t>Wet Mount Examination</w:t>
            </w:r>
          </w:p>
        </w:tc>
        <w:tc>
          <w:tcPr>
            <w:tcW w:type="dxa" w:w="1701"/>
            <w:shd w:val="clear" w:color="auto" w:fill="F3F6FA"/>
          </w:tcPr>
          <w:p>
            <w:pPr>
              <w:spacing w:after="0"/>
            </w:pPr>
            <w:r/>
            <w:r>
              <w:rPr>
                <w:b w:val="0"/>
                <w:sz w:val="19"/>
              </w:rPr>
              <w:t>Descriptive</w:t>
            </w:r>
          </w:p>
        </w:tc>
        <w:tc>
          <w:tcPr>
            <w:tcW w:type="dxa" w:w="4535"/>
            <w:shd w:val="clear" w:color="auto" w:fill="F3F6FA"/>
          </w:tcPr>
          <w:p>
            <w:pPr>
              <w:spacing w:after="0"/>
            </w:pPr>
            <w:r/>
            <w:r>
              <w:rPr>
                <w:b w:val="0"/>
                <w:sz w:val="19"/>
              </w:rPr>
              <w:t>Template</w:t>
            </w:r>
          </w:p>
        </w:tc>
      </w:tr>
      <w:tr>
        <w:tc>
          <w:tcPr>
            <w:tcW w:type="dxa" w:w="3402"/>
          </w:tcPr>
          <w:p>
            <w:pPr>
              <w:spacing w:after="0"/>
            </w:pPr>
            <w:r/>
            <w:r>
              <w:rPr>
                <w:b/>
                <w:sz w:val="19"/>
              </w:rPr>
              <w:t>India Ink Preparation (CSF)</w:t>
            </w:r>
          </w:p>
        </w:tc>
        <w:tc>
          <w:tcPr>
            <w:tcW w:type="dxa" w:w="1701"/>
          </w:tcPr>
          <w:p>
            <w:pPr>
              <w:spacing w:after="0"/>
            </w:pPr>
            <w:r/>
            <w:r>
              <w:rPr>
                <w:b w:val="0"/>
                <w:sz w:val="19"/>
              </w:rPr>
              <w:t>Descriptive</w:t>
            </w:r>
          </w:p>
        </w:tc>
        <w:tc>
          <w:tcPr>
            <w:tcW w:type="dxa" w:w="4535"/>
          </w:tcPr>
          <w:p>
            <w:pPr>
              <w:spacing w:after="0"/>
            </w:pPr>
            <w:r/>
            <w:r>
              <w:rPr>
                <w:b w:val="0"/>
                <w:sz w:val="19"/>
              </w:rPr>
              <w:t>Template</w:t>
            </w:r>
          </w:p>
        </w:tc>
      </w:tr>
      <w:tr>
        <w:tc>
          <w:tcPr>
            <w:tcW w:type="dxa" w:w="3402"/>
            <w:shd w:val="clear" w:color="auto" w:fill="F3F6FA"/>
          </w:tcPr>
          <w:p>
            <w:pPr>
              <w:spacing w:after="0"/>
            </w:pPr>
            <w:r/>
            <w:r>
              <w:rPr>
                <w:b/>
                <w:sz w:val="19"/>
              </w:rPr>
              <w:t>Albert Stain (C. diphtheriae)</w:t>
            </w:r>
          </w:p>
        </w:tc>
        <w:tc>
          <w:tcPr>
            <w:tcW w:type="dxa" w:w="1701"/>
            <w:shd w:val="clear" w:color="auto" w:fill="F3F6FA"/>
          </w:tcPr>
          <w:p>
            <w:pPr>
              <w:spacing w:after="0"/>
            </w:pPr>
            <w:r/>
            <w:r>
              <w:rPr>
                <w:b w:val="0"/>
                <w:sz w:val="19"/>
              </w:rPr>
              <w:t>Descriptive</w:t>
            </w:r>
          </w:p>
        </w:tc>
        <w:tc>
          <w:tcPr>
            <w:tcW w:type="dxa" w:w="4535"/>
            <w:shd w:val="clear" w:color="auto" w:fill="F3F6FA"/>
          </w:tcPr>
          <w:p>
            <w:pPr>
              <w:spacing w:after="0"/>
            </w:pPr>
            <w:r/>
            <w:r>
              <w:rPr>
                <w:b w:val="0"/>
                <w:sz w:val="19"/>
              </w:rPr>
              <w:t>Template</w:t>
            </w:r>
          </w:p>
        </w:tc>
      </w:tr>
      <w:tr>
        <w:tc>
          <w:tcPr>
            <w:tcW w:type="dxa" w:w="3402"/>
          </w:tcPr>
          <w:p>
            <w:pPr>
              <w:spacing w:after="0"/>
            </w:pPr>
            <w:r/>
            <w:r>
              <w:rPr>
                <w:b/>
                <w:sz w:val="19"/>
              </w:rPr>
              <w:t>Urine Culture &amp; Sensitivity</w:t>
            </w:r>
          </w:p>
        </w:tc>
        <w:tc>
          <w:tcPr>
            <w:tcW w:type="dxa" w:w="1701"/>
          </w:tcPr>
          <w:p>
            <w:pPr>
              <w:spacing w:after="0"/>
            </w:pPr>
            <w:r/>
            <w:r>
              <w:rPr>
                <w:b w:val="0"/>
                <w:sz w:val="19"/>
              </w:rPr>
              <w:t>Culture</w:t>
            </w:r>
          </w:p>
        </w:tc>
        <w:tc>
          <w:tcPr>
            <w:tcW w:type="dxa" w:w="4535"/>
          </w:tcPr>
          <w:p>
            <w:pPr>
              <w:spacing w:after="0"/>
            </w:pPr>
            <w:r/>
            <w:r>
              <w:rPr>
                <w:b w:val="0"/>
                <w:sz w:val="19"/>
              </w:rPr>
              <w:t>Growth, colony count, organism(s), S / I / R</w:t>
            </w:r>
          </w:p>
        </w:tc>
      </w:tr>
      <w:tr>
        <w:tc>
          <w:tcPr>
            <w:tcW w:type="dxa" w:w="3402"/>
            <w:shd w:val="clear" w:color="auto" w:fill="F3F6FA"/>
          </w:tcPr>
          <w:p>
            <w:pPr>
              <w:spacing w:after="0"/>
            </w:pPr>
            <w:r/>
            <w:r>
              <w:rPr>
                <w:b/>
                <w:sz w:val="19"/>
              </w:rPr>
              <w:t>Blood Culture &amp; Sensitivity</w:t>
            </w:r>
          </w:p>
        </w:tc>
        <w:tc>
          <w:tcPr>
            <w:tcW w:type="dxa" w:w="1701"/>
            <w:shd w:val="clear" w:color="auto" w:fill="F3F6FA"/>
          </w:tcPr>
          <w:p>
            <w:pPr>
              <w:spacing w:after="0"/>
            </w:pPr>
            <w:r/>
            <w:r>
              <w:rPr>
                <w:b w:val="0"/>
                <w:sz w:val="19"/>
              </w:rPr>
              <w:t>Culture</w:t>
            </w:r>
          </w:p>
        </w:tc>
        <w:tc>
          <w:tcPr>
            <w:tcW w:type="dxa" w:w="4535"/>
            <w:shd w:val="clear" w:color="auto" w:fill="F3F6FA"/>
          </w:tcPr>
          <w:p>
            <w:pPr>
              <w:spacing w:after="0"/>
            </w:pPr>
            <w:r/>
            <w:r>
              <w:rPr>
                <w:b w:val="0"/>
                <w:sz w:val="19"/>
              </w:rPr>
              <w:t>Same as above</w:t>
            </w:r>
          </w:p>
        </w:tc>
      </w:tr>
      <w:tr>
        <w:tc>
          <w:tcPr>
            <w:tcW w:type="dxa" w:w="3402"/>
          </w:tcPr>
          <w:p>
            <w:pPr>
              <w:spacing w:after="0"/>
            </w:pPr>
            <w:r/>
            <w:r>
              <w:rPr>
                <w:b/>
                <w:sz w:val="19"/>
              </w:rPr>
              <w:t>Sputum Culture &amp; Sensitivity</w:t>
            </w:r>
          </w:p>
        </w:tc>
        <w:tc>
          <w:tcPr>
            <w:tcW w:type="dxa" w:w="1701"/>
          </w:tcPr>
          <w:p>
            <w:pPr>
              <w:spacing w:after="0"/>
            </w:pPr>
            <w:r/>
            <w:r>
              <w:rPr>
                <w:b w:val="0"/>
                <w:sz w:val="19"/>
              </w:rPr>
              <w:t>Culture</w:t>
            </w:r>
          </w:p>
        </w:tc>
        <w:tc>
          <w:tcPr>
            <w:tcW w:type="dxa" w:w="4535"/>
          </w:tcPr>
          <w:p>
            <w:pPr>
              <w:spacing w:after="0"/>
            </w:pPr>
            <w:r/>
            <w:r>
              <w:rPr>
                <w:b w:val="0"/>
                <w:sz w:val="19"/>
              </w:rPr>
              <w:t>Same as above</w:t>
            </w:r>
          </w:p>
        </w:tc>
      </w:tr>
      <w:tr>
        <w:tc>
          <w:tcPr>
            <w:tcW w:type="dxa" w:w="3402"/>
            <w:shd w:val="clear" w:color="auto" w:fill="F3F6FA"/>
          </w:tcPr>
          <w:p>
            <w:pPr>
              <w:spacing w:after="0"/>
            </w:pPr>
            <w:r/>
            <w:r>
              <w:rPr>
                <w:b/>
                <w:sz w:val="19"/>
              </w:rPr>
              <w:t>Pus / Wound Culture &amp; Sensitivity</w:t>
            </w:r>
          </w:p>
        </w:tc>
        <w:tc>
          <w:tcPr>
            <w:tcW w:type="dxa" w:w="1701"/>
            <w:shd w:val="clear" w:color="auto" w:fill="F3F6FA"/>
          </w:tcPr>
          <w:p>
            <w:pPr>
              <w:spacing w:after="0"/>
            </w:pPr>
            <w:r/>
            <w:r>
              <w:rPr>
                <w:b w:val="0"/>
                <w:sz w:val="19"/>
              </w:rPr>
              <w:t>Culture</w:t>
            </w:r>
          </w:p>
        </w:tc>
        <w:tc>
          <w:tcPr>
            <w:tcW w:type="dxa" w:w="4535"/>
            <w:shd w:val="clear" w:color="auto" w:fill="F3F6FA"/>
          </w:tcPr>
          <w:p>
            <w:pPr>
              <w:spacing w:after="0"/>
            </w:pPr>
            <w:r/>
            <w:r>
              <w:rPr>
                <w:b w:val="0"/>
                <w:sz w:val="19"/>
              </w:rPr>
              <w:t>Same as above</w:t>
            </w:r>
          </w:p>
        </w:tc>
      </w:tr>
      <w:tr>
        <w:tc>
          <w:tcPr>
            <w:tcW w:type="dxa" w:w="3402"/>
          </w:tcPr>
          <w:p>
            <w:pPr>
              <w:spacing w:after="0"/>
            </w:pPr>
            <w:r/>
            <w:r>
              <w:rPr>
                <w:b/>
                <w:sz w:val="19"/>
              </w:rPr>
              <w:t>Stool Culture &amp; Sensitivity</w:t>
            </w:r>
          </w:p>
        </w:tc>
        <w:tc>
          <w:tcPr>
            <w:tcW w:type="dxa" w:w="1701"/>
          </w:tcPr>
          <w:p>
            <w:pPr>
              <w:spacing w:after="0"/>
            </w:pPr>
            <w:r/>
            <w:r>
              <w:rPr>
                <w:b w:val="0"/>
                <w:sz w:val="19"/>
              </w:rPr>
              <w:t>Culture</w:t>
            </w:r>
          </w:p>
        </w:tc>
        <w:tc>
          <w:tcPr>
            <w:tcW w:type="dxa" w:w="4535"/>
          </w:tcPr>
          <w:p>
            <w:pPr>
              <w:spacing w:after="0"/>
            </w:pPr>
            <w:r/>
            <w:r>
              <w:rPr>
                <w:b w:val="0"/>
                <w:sz w:val="19"/>
              </w:rPr>
              <w:t>Same as above</w:t>
            </w:r>
          </w:p>
        </w:tc>
      </w:tr>
      <w:tr>
        <w:tc>
          <w:tcPr>
            <w:tcW w:type="dxa" w:w="3402"/>
            <w:shd w:val="clear" w:color="auto" w:fill="F3F6FA"/>
          </w:tcPr>
          <w:p>
            <w:pPr>
              <w:spacing w:after="0"/>
            </w:pPr>
            <w:r/>
            <w:r>
              <w:rPr>
                <w:b/>
                <w:sz w:val="19"/>
              </w:rPr>
              <w:t>CSF Culture &amp; Sensitivity</w:t>
            </w:r>
          </w:p>
        </w:tc>
        <w:tc>
          <w:tcPr>
            <w:tcW w:type="dxa" w:w="1701"/>
            <w:shd w:val="clear" w:color="auto" w:fill="F3F6FA"/>
          </w:tcPr>
          <w:p>
            <w:pPr>
              <w:spacing w:after="0"/>
            </w:pPr>
            <w:r/>
            <w:r>
              <w:rPr>
                <w:b w:val="0"/>
                <w:sz w:val="19"/>
              </w:rPr>
              <w:t>Culture</w:t>
            </w:r>
          </w:p>
        </w:tc>
        <w:tc>
          <w:tcPr>
            <w:tcW w:type="dxa" w:w="4535"/>
            <w:shd w:val="clear" w:color="auto" w:fill="F3F6FA"/>
          </w:tcPr>
          <w:p>
            <w:pPr>
              <w:spacing w:after="0"/>
            </w:pPr>
            <w:r/>
            <w:r>
              <w:rPr>
                <w:b w:val="0"/>
                <w:sz w:val="19"/>
              </w:rPr>
              <w:t>Same as above</w:t>
            </w:r>
          </w:p>
        </w:tc>
      </w:tr>
      <w:tr>
        <w:tc>
          <w:tcPr>
            <w:tcW w:type="dxa" w:w="3402"/>
          </w:tcPr>
          <w:p>
            <w:pPr>
              <w:spacing w:after="0"/>
            </w:pPr>
            <w:r/>
            <w:r>
              <w:rPr>
                <w:b/>
                <w:sz w:val="19"/>
              </w:rPr>
              <w:t>Body Fluid Culture &amp; Sensitivity</w:t>
            </w:r>
          </w:p>
        </w:tc>
        <w:tc>
          <w:tcPr>
            <w:tcW w:type="dxa" w:w="1701"/>
          </w:tcPr>
          <w:p>
            <w:pPr>
              <w:spacing w:after="0"/>
            </w:pPr>
            <w:r/>
            <w:r>
              <w:rPr>
                <w:b w:val="0"/>
                <w:sz w:val="19"/>
              </w:rPr>
              <w:t>Culture</w:t>
            </w:r>
          </w:p>
        </w:tc>
        <w:tc>
          <w:tcPr>
            <w:tcW w:type="dxa" w:w="4535"/>
          </w:tcPr>
          <w:p>
            <w:pPr>
              <w:spacing w:after="0"/>
            </w:pPr>
            <w:r/>
            <w:r>
              <w:rPr>
                <w:b w:val="0"/>
                <w:sz w:val="19"/>
              </w:rPr>
              <w:t>Same as above</w:t>
            </w:r>
          </w:p>
        </w:tc>
      </w:tr>
    </w:tbl>
    <w:p/>
    <w:p>
      <w:pPr>
        <w:pStyle w:val="Heading1"/>
      </w:pPr>
      <w:r>
        <w:t>4. Current reporting scenario</w:t>
      </w:r>
    </w:p>
    <w:p>
      <w:pPr>
        <w:pStyle w:val="Heading2"/>
      </w:pPr>
      <w:r>
        <w:t>4.1 How reporting works today</w:t>
      </w:r>
    </w:p>
    <w:p>
      <w:pPr>
        <w:pStyle w:val="ListBullet"/>
        <w:spacing w:after="40"/>
      </w:pPr>
      <w:r>
        <w:rPr>
          <w:b/>
        </w:rPr>
        <w:t xml:space="preserve">Result rows come from sample collection. </w:t>
      </w:r>
      <w:r>
        <w:t>One row per investigation; profiles are expanded into their parameters (usp_CreateSampleCollectionFromLabOrder).</w:t>
      </w:r>
    </w:p>
    <w:p>
      <w:pPr>
        <w:pStyle w:val="ListBullet"/>
        <w:spacing w:after="40"/>
      </w:pPr>
      <w:r>
        <w:rPr>
          <w:b/>
        </w:rPr>
        <w:t xml:space="preserve">Each screen loads a single Reporting Type. </w:t>
      </w:r>
      <w:r>
        <w:t>usp_LabReporting_GetDetail returns only rows whose type equals the requested value.</w:t>
      </w:r>
    </w:p>
    <w:p>
      <w:pPr>
        <w:pStyle w:val="ListBullet"/>
        <w:spacing w:after="40"/>
      </w:pPr>
      <w:r>
        <w:rPr>
          <w:b/>
        </w:rPr>
        <w:t xml:space="preserve">Lab Report Entry </w:t>
      </w:r>
      <w:r>
        <w:t>requests Numeric.</w:t>
      </w:r>
    </w:p>
    <w:p>
      <w:pPr>
        <w:pStyle w:val="ListBullet"/>
        <w:spacing w:after="40"/>
      </w:pPr>
      <w:r>
        <w:rPr>
          <w:b/>
        </w:rPr>
        <w:t xml:space="preserve">Lab Image Reporting </w:t>
      </w:r>
      <w:r>
        <w:t>requests Image.</w:t>
      </w:r>
    </w:p>
    <w:p>
      <w:pPr>
        <w:pStyle w:val="ListBullet"/>
        <w:spacing w:after="40"/>
      </w:pPr>
      <w:r>
        <w:rPr>
          <w:b/>
        </w:rPr>
        <w:t xml:space="preserve">Patient PDF </w:t>
      </w:r>
      <w:r>
        <w:t>uses the default, which is also Numeric.</w:t>
      </w:r>
    </w:p>
    <w:p>
      <w:pPr>
        <w:pStyle w:val="ListBullet"/>
        <w:spacing w:after="40"/>
      </w:pPr>
      <w:r>
        <w:rPr>
          <w:b/>
        </w:rPr>
        <w:t xml:space="preserve">Worklist </w:t>
      </w:r>
      <w:r>
        <w:t>(usp_LabReporting_GetHeaderList) filters by type in the same way.</w:t>
      </w:r>
    </w:p>
    <w:p>
      <w:pPr>
        <w:pStyle w:val="ListBullet"/>
        <w:spacing w:after="40"/>
      </w:pPr>
      <w:r>
        <w:rPr>
          <w:b/>
        </w:rPr>
        <w:t xml:space="preserve">Numeric entry </w:t>
      </w:r>
      <w:r>
        <w:t>blocks a parameter that has no reference range, and flags H / L by comparing numbers.</w:t>
      </w:r>
    </w:p>
    <w:p>
      <w:pPr>
        <w:pStyle w:val="Heading2"/>
      </w:pPr>
      <w:r>
        <w:t>4.2 What happens to each test today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val="clear" w:color="auto" w:fill="1F3A5F"/>
          </w:tcPr>
          <w:p>
            <w:pPr>
              <w:spacing w:after="0"/>
            </w:pPr>
            <w:r/>
            <w:r>
              <w:rPr>
                <w:b/>
                <w:color w:val="FFFFFF"/>
                <w:sz w:val="19"/>
              </w:rPr>
              <w:t>Test type</w:t>
            </w:r>
          </w:p>
        </w:tc>
        <w:tc>
          <w:tcPr>
            <w:tcW w:type="dxa" w:w="1134"/>
            <w:shd w:val="clear" w:color="auto" w:fill="1F3A5F"/>
          </w:tcPr>
          <w:p>
            <w:pPr>
              <w:spacing w:after="0"/>
            </w:pPr>
            <w:r/>
            <w:r>
              <w:rPr>
                <w:b/>
                <w:color w:val="FFFFFF"/>
                <w:sz w:val="19"/>
              </w:rPr>
              <w:t>Book &amp; collect</w:t>
            </w:r>
          </w:p>
        </w:tc>
        <w:tc>
          <w:tcPr>
            <w:tcW w:type="dxa" w:w="3288"/>
            <w:shd w:val="clear" w:color="auto" w:fill="1F3A5F"/>
          </w:tcPr>
          <w:p>
            <w:pPr>
              <w:spacing w:after="0"/>
            </w:pPr>
            <w:r/>
            <w:r>
              <w:rPr>
                <w:b/>
                <w:color w:val="FFFFFF"/>
                <w:sz w:val="19"/>
              </w:rPr>
              <w:t>Result entry</w:t>
            </w:r>
          </w:p>
        </w:tc>
        <w:tc>
          <w:tcPr>
            <w:tcW w:type="dxa" w:w="1361"/>
            <w:shd w:val="clear" w:color="auto" w:fill="1F3A5F"/>
          </w:tcPr>
          <w:p>
            <w:pPr>
              <w:spacing w:after="0"/>
            </w:pPr>
            <w:r/>
            <w:r>
              <w:rPr>
                <w:b/>
                <w:color w:val="FFFFFF"/>
                <w:sz w:val="19"/>
              </w:rPr>
              <w:t>Print</w:t>
            </w:r>
          </w:p>
        </w:tc>
        <w:tc>
          <w:tcPr>
            <w:tcW w:type="dxa" w:w="1474"/>
            <w:shd w:val="clear" w:color="auto" w:fill="1F3A5F"/>
          </w:tcPr>
          <w:p>
            <w:pPr>
              <w:spacing w:after="0"/>
            </w:pPr>
            <w:r/>
            <w:r>
              <w:rPr>
                <w:b/>
                <w:color w:val="FFFFFF"/>
                <w:sz w:val="19"/>
              </w:rPr>
              <w:t>Works today?</w:t>
            </w:r>
          </w:p>
        </w:tc>
      </w:tr>
      <w:tr>
        <w:tc>
          <w:tcPr>
            <w:tcW w:type="dxa" w:w="2381"/>
          </w:tcPr>
          <w:p>
            <w:pPr>
              <w:spacing w:after="0"/>
            </w:pPr>
            <w:r/>
            <w:r>
              <w:rPr>
                <w:b/>
                <w:sz w:val="19"/>
              </w:rPr>
              <w:t>Urine / Stool / Semen / CSF / Body Fluid</w:t>
            </w:r>
          </w:p>
        </w:tc>
        <w:tc>
          <w:tcPr>
            <w:tcW w:type="dxa" w:w="1134"/>
          </w:tcPr>
          <w:p>
            <w:pPr>
              <w:spacing w:after="0"/>
            </w:pPr>
            <w:r/>
            <w:r>
              <w:rPr>
                <w:b w:val="0"/>
                <w:sz w:val="19"/>
              </w:rPr>
              <w:t>Yes</w:t>
            </w:r>
          </w:p>
        </w:tc>
        <w:tc>
          <w:tcPr>
            <w:tcW w:type="dxa" w:w="3288"/>
          </w:tcPr>
          <w:p>
            <w:pPr>
              <w:spacing w:after="0"/>
            </w:pPr>
            <w:r/>
            <w:r>
              <w:rPr>
                <w:b w:val="0"/>
                <w:sz w:val="19"/>
              </w:rPr>
              <w:t>Numeric parameters only; Select parameters hidden</w:t>
            </w:r>
          </w:p>
        </w:tc>
        <w:tc>
          <w:tcPr>
            <w:tcW w:type="dxa" w:w="1361"/>
          </w:tcPr>
          <w:p>
            <w:pPr>
              <w:spacing w:after="0"/>
            </w:pPr>
            <w:r/>
            <w:r>
              <w:rPr>
                <w:b w:val="0"/>
                <w:sz w:val="19"/>
              </w:rPr>
              <w:t>Numeric only</w:t>
            </w:r>
          </w:p>
        </w:tc>
        <w:tc>
          <w:tcPr>
            <w:tcW w:type="dxa" w:w="1474"/>
            <w:shd w:val="clear" w:color="auto" w:fill="FFF3E0"/>
          </w:tcPr>
          <w:p>
            <w:pPr>
              <w:spacing w:after="0"/>
            </w:pPr>
            <w:r/>
            <w:r>
              <w:rPr>
                <w:b w:val="0"/>
                <w:sz w:val="19"/>
              </w:rPr>
              <w:t>Partial</w:t>
            </w:r>
          </w:p>
        </w:tc>
      </w:tr>
      <w:tr>
        <w:tc>
          <w:tcPr>
            <w:tcW w:type="dxa" w:w="2381"/>
            <w:shd w:val="clear" w:color="auto" w:fill="F3F6FA"/>
          </w:tcPr>
          <w:p>
            <w:pPr>
              <w:spacing w:after="0"/>
            </w:pPr>
            <w:r/>
            <w:r>
              <w:rPr>
                <w:b/>
                <w:sz w:val="19"/>
              </w:rPr>
              <w:t>Sputum AFB (Select)</w:t>
            </w:r>
          </w:p>
        </w:tc>
        <w:tc>
          <w:tcPr>
            <w:tcW w:type="dxa" w:w="1134"/>
            <w:shd w:val="clear" w:color="auto" w:fill="F3F6FA"/>
          </w:tcPr>
          <w:p>
            <w:pPr>
              <w:spacing w:after="0"/>
            </w:pPr>
            <w:r/>
            <w:r>
              <w:rPr>
                <w:b w:val="0"/>
                <w:sz w:val="19"/>
              </w:rPr>
              <w:t>Yes</w:t>
            </w:r>
          </w:p>
        </w:tc>
        <w:tc>
          <w:tcPr>
            <w:tcW w:type="dxa" w:w="3288"/>
            <w:shd w:val="clear" w:color="auto" w:fill="F3F6FA"/>
          </w:tcPr>
          <w:p>
            <w:pPr>
              <w:spacing w:after="0"/>
            </w:pPr>
            <w:r/>
            <w:r>
              <w:rPr>
                <w:b w:val="0"/>
                <w:sz w:val="19"/>
              </w:rPr>
              <w:t>Not on any screen</w:t>
            </w:r>
          </w:p>
        </w:tc>
        <w:tc>
          <w:tcPr>
            <w:tcW w:type="dxa" w:w="1361"/>
            <w:shd w:val="clear" w:color="auto" w:fill="F3F6FA"/>
          </w:tcPr>
          <w:p>
            <w:pPr>
              <w:spacing w:after="0"/>
            </w:pPr>
            <w:r/>
            <w:r>
              <w:rPr>
                <w:b w:val="0"/>
                <w:sz w:val="19"/>
              </w:rPr>
              <w:t>No</w:t>
            </w:r>
          </w:p>
        </w:tc>
        <w:tc>
          <w:tcPr>
            <w:tcW w:type="dxa" w:w="1474"/>
            <w:shd w:val="clear" w:color="auto" w:fill="FDECEA"/>
          </w:tcPr>
          <w:p>
            <w:pPr>
              <w:spacing w:after="0"/>
            </w:pPr>
            <w:r/>
            <w:r>
              <w:rPr>
                <w:b w:val="0"/>
                <w:sz w:val="19"/>
              </w:rPr>
              <w:t>No</w:t>
            </w:r>
          </w:p>
        </w:tc>
      </w:tr>
      <w:tr>
        <w:tc>
          <w:tcPr>
            <w:tcW w:type="dxa" w:w="2381"/>
          </w:tcPr>
          <w:p>
            <w:pPr>
              <w:spacing w:after="0"/>
            </w:pPr>
            <w:r/>
            <w:r>
              <w:rPr>
                <w:b/>
                <w:sz w:val="19"/>
              </w:rPr>
              <w:t>Stains (Descriptive)</w:t>
            </w:r>
          </w:p>
        </w:tc>
        <w:tc>
          <w:tcPr>
            <w:tcW w:type="dxa" w:w="1134"/>
          </w:tcPr>
          <w:p>
            <w:pPr>
              <w:spacing w:after="0"/>
            </w:pPr>
            <w:r/>
            <w:r>
              <w:rPr>
                <w:b w:val="0"/>
                <w:sz w:val="19"/>
              </w:rPr>
              <w:t>Yes</w:t>
            </w:r>
          </w:p>
        </w:tc>
        <w:tc>
          <w:tcPr>
            <w:tcW w:type="dxa" w:w="3288"/>
          </w:tcPr>
          <w:p>
            <w:pPr>
              <w:spacing w:after="0"/>
            </w:pPr>
            <w:r/>
            <w:r>
              <w:rPr>
                <w:b w:val="0"/>
                <w:sz w:val="19"/>
              </w:rPr>
              <w:t>Not on any screen (Image page loads Image only)</w:t>
            </w:r>
          </w:p>
        </w:tc>
        <w:tc>
          <w:tcPr>
            <w:tcW w:type="dxa" w:w="1361"/>
          </w:tcPr>
          <w:p>
            <w:pPr>
              <w:spacing w:after="0"/>
            </w:pPr>
            <w:r/>
            <w:r>
              <w:rPr>
                <w:b w:val="0"/>
                <w:sz w:val="19"/>
              </w:rPr>
              <w:t>No</w:t>
            </w:r>
          </w:p>
        </w:tc>
        <w:tc>
          <w:tcPr>
            <w:tcW w:type="dxa" w:w="1474"/>
            <w:shd w:val="clear" w:color="auto" w:fill="FDECEA"/>
          </w:tcPr>
          <w:p>
            <w:pPr>
              <w:spacing w:after="0"/>
            </w:pPr>
            <w:r/>
            <w:r>
              <w:rPr>
                <w:b w:val="0"/>
                <w:sz w:val="19"/>
              </w:rPr>
              <w:t>No</w:t>
            </w:r>
          </w:p>
        </w:tc>
      </w:tr>
      <w:tr>
        <w:tc>
          <w:tcPr>
            <w:tcW w:type="dxa" w:w="2381"/>
            <w:shd w:val="clear" w:color="auto" w:fill="F3F6FA"/>
          </w:tcPr>
          <w:p>
            <w:pPr>
              <w:spacing w:after="0"/>
            </w:pPr>
            <w:r/>
            <w:r>
              <w:rPr>
                <w:b/>
                <w:sz w:val="19"/>
              </w:rPr>
              <w:t>Culture &amp; Sensitivity</w:t>
            </w:r>
          </w:p>
        </w:tc>
        <w:tc>
          <w:tcPr>
            <w:tcW w:type="dxa" w:w="1134"/>
            <w:shd w:val="clear" w:color="auto" w:fill="F3F6FA"/>
          </w:tcPr>
          <w:p>
            <w:pPr>
              <w:spacing w:after="0"/>
            </w:pPr>
            <w:r/>
            <w:r>
              <w:rPr>
                <w:b w:val="0"/>
                <w:sz w:val="19"/>
              </w:rPr>
              <w:t>Yes</w:t>
            </w:r>
          </w:p>
        </w:tc>
        <w:tc>
          <w:tcPr>
            <w:tcW w:type="dxa" w:w="3288"/>
            <w:shd w:val="clear" w:color="auto" w:fill="F3F6FA"/>
          </w:tcPr>
          <w:p>
            <w:pPr>
              <w:spacing w:after="0"/>
            </w:pPr>
            <w:r/>
            <w:r>
              <w:rPr>
                <w:b w:val="0"/>
                <w:sz w:val="19"/>
              </w:rPr>
              <w:t>Not on any screen; no storage for organisms / S / I / R</w:t>
            </w:r>
          </w:p>
        </w:tc>
        <w:tc>
          <w:tcPr>
            <w:tcW w:type="dxa" w:w="1361"/>
            <w:shd w:val="clear" w:color="auto" w:fill="F3F6FA"/>
          </w:tcPr>
          <w:p>
            <w:pPr>
              <w:spacing w:after="0"/>
            </w:pPr>
            <w:r/>
            <w:r>
              <w:rPr>
                <w:b w:val="0"/>
                <w:sz w:val="19"/>
              </w:rPr>
              <w:t>No</w:t>
            </w:r>
          </w:p>
        </w:tc>
        <w:tc>
          <w:tcPr>
            <w:tcW w:type="dxa" w:w="1474"/>
            <w:shd w:val="clear" w:color="auto" w:fill="FDECEA"/>
          </w:tcPr>
          <w:p>
            <w:pPr>
              <w:spacing w:after="0"/>
            </w:pPr>
            <w:r/>
            <w:r>
              <w:rPr>
                <w:b w:val="0"/>
                <w:sz w:val="19"/>
              </w:rPr>
              <w:t>No</w:t>
            </w:r>
          </w:p>
        </w:tc>
      </w:tr>
    </w:tbl>
    <w:p/>
    <w:p>
      <w:pPr>
        <w:spacing w:after="120"/>
      </w:pPr>
      <w:r>
        <w:rPr>
          <w:i/>
          <w:color w:val="555F6B"/>
          <w:sz w:val="19"/>
        </w:rPr>
        <w:t>Reference ranges for all 31 numeric microbiology parameters are already loaded, so numeric parameters are no longer blocked on entry.</w:t>
      </w:r>
    </w:p>
    <w:p>
      <w:pPr>
        <w:jc w:val="center"/>
      </w:pPr>
      <w:r>
        <w:drawing>
          <wp:inline xmlns:a="http://schemas.openxmlformats.org/drawingml/2006/main" xmlns:pic="http://schemas.openxmlformats.org/drawingml/2006/picture">
            <wp:extent cx="6120000" cy="4990154"/>
            <wp:docPr id="1" name="Picture 1"/>
            <wp:cNvGraphicFramePr>
              <a:graphicFrameLocks noChangeAspect="1"/>
            </wp:cNvGraphicFramePr>
            <a:graphic>
              <a:graphicData uri="http://schemas.openxmlformats.org/drawingml/2006/picture">
                <pic:pic>
                  <pic:nvPicPr>
                    <pic:cNvPr id="0" name="flow1_routing.png"/>
                    <pic:cNvPicPr/>
                  </pic:nvPicPr>
                  <pic:blipFill>
                    <a:blip r:embed="rId9"/>
                    <a:stretch>
                      <a:fillRect/>
                    </a:stretch>
                  </pic:blipFill>
                  <pic:spPr>
                    <a:xfrm>
                      <a:off x="0" y="0"/>
                      <a:ext cx="6120000" cy="4990154"/>
                    </a:xfrm>
                    <a:prstGeom prst="rect"/>
                  </pic:spPr>
                </pic:pic>
              </a:graphicData>
            </a:graphic>
          </wp:inline>
        </w:drawing>
      </w:r>
    </w:p>
    <w:p>
      <w:pPr>
        <w:jc w:val="center"/>
      </w:pPr>
      <w:r>
        <w:rPr>
          <w:i/>
          <w:color w:val="555F6B"/>
          <w:sz w:val="18"/>
        </w:rPr>
        <w:t>Figure 1 - Routing by Reporting Type: green works today, orange needs change, red is a new build.</w:t>
      </w:r>
    </w:p>
    <w:p>
      <w:pPr>
        <w:pStyle w:val="Heading1"/>
      </w:pPr>
      <w:r>
        <w:t>5. Changes needed in the reporting pages</w:t>
      </w:r>
    </w:p>
    <w:p>
      <w:pPr>
        <w:pStyle w:val="Heading2"/>
      </w:pPr>
      <w:r>
        <w:t>Step 1 - Configuration (done)</w:t>
      </w:r>
    </w:p>
    <w:p>
      <w:pPr>
        <w:pStyle w:val="ListBullet"/>
        <w:spacing w:after="40"/>
      </w:pPr>
      <w:r>
        <w:t>Reference ranges and units for the 31 numeric parameters (script 2150).</w:t>
      </w:r>
    </w:p>
    <w:p>
      <w:pPr>
        <w:pStyle w:val="ListBullet"/>
        <w:spacing w:after="40"/>
      </w:pPr>
      <w:r>
        <w:t>Pathologist to review CSF age bands and body-fluid cut-offs before go-live.</w:t>
      </w:r>
    </w:p>
    <w:p>
      <w:pPr>
        <w:pStyle w:val="Heading2"/>
      </w:pPr>
      <w:r>
        <w:t>Step 2 - Descriptive stains (small)</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2"/>
            <w:shd w:val="clear" w:color="auto" w:fill="1F3A5F"/>
          </w:tcPr>
          <w:p>
            <w:pPr>
              <w:spacing w:after="0"/>
            </w:pPr>
            <w:r/>
            <w:r>
              <w:rPr>
                <w:b/>
                <w:color w:val="FFFFFF"/>
                <w:sz w:val="19"/>
              </w:rPr>
              <w:t>Change</w:t>
            </w:r>
          </w:p>
        </w:tc>
        <w:tc>
          <w:tcPr>
            <w:tcW w:type="dxa" w:w="4535"/>
            <w:shd w:val="clear" w:color="auto" w:fill="1F3A5F"/>
          </w:tcPr>
          <w:p>
            <w:pPr>
              <w:spacing w:after="0"/>
            </w:pPr>
            <w:r/>
            <w:r>
              <w:rPr>
                <w:b/>
                <w:color w:val="FFFFFF"/>
                <w:sz w:val="19"/>
              </w:rPr>
              <w:t>Where</w:t>
            </w:r>
          </w:p>
        </w:tc>
      </w:tr>
      <w:tr>
        <w:tc>
          <w:tcPr>
            <w:tcW w:type="dxa" w:w="5102"/>
          </w:tcPr>
          <w:p>
            <w:pPr>
              <w:spacing w:after="0"/>
            </w:pPr>
            <w:r/>
            <w:r>
              <w:rPr>
                <w:b/>
                <w:sz w:val="19"/>
              </w:rPr>
              <w:t>Accept a list of reporting types instead of one value</w:t>
            </w:r>
          </w:p>
        </w:tc>
        <w:tc>
          <w:tcPr>
            <w:tcW w:type="dxa" w:w="4535"/>
          </w:tcPr>
          <w:p>
            <w:pPr>
              <w:spacing w:after="0"/>
            </w:pPr>
            <w:r/>
            <w:r>
              <w:rPr>
                <w:b w:val="0"/>
                <w:sz w:val="19"/>
              </w:rPr>
              <w:t>usp_LabReporting_GetDetail, usp_LabReporting_GetHeaderList, usp_Api_LabReport_GetSignoffPanel</w:t>
            </w:r>
          </w:p>
        </w:tc>
      </w:tr>
      <w:tr>
        <w:tc>
          <w:tcPr>
            <w:tcW w:type="dxa" w:w="5102"/>
            <w:shd w:val="clear" w:color="auto" w:fill="F3F6FA"/>
          </w:tcPr>
          <w:p>
            <w:pPr>
              <w:spacing w:after="0"/>
            </w:pPr>
            <w:r/>
            <w:r>
              <w:rPr>
                <w:b/>
                <w:sz w:val="19"/>
              </w:rPr>
              <w:t>Request Image + Descriptive</w:t>
            </w:r>
          </w:p>
        </w:tc>
        <w:tc>
          <w:tcPr>
            <w:tcW w:type="dxa" w:w="4535"/>
            <w:shd w:val="clear" w:color="auto" w:fill="F3F6FA"/>
          </w:tcPr>
          <w:p>
            <w:pPr>
              <w:spacing w:after="0"/>
            </w:pPr>
            <w:r/>
            <w:r>
              <w:rPr>
                <w:b w:val="0"/>
                <w:sz w:val="19"/>
              </w:rPr>
              <w:t>LabImageReportingController (all GetDetailAsync / GetHeaderListAsync calls)</w:t>
            </w:r>
          </w:p>
        </w:tc>
      </w:tr>
      <w:tr>
        <w:tc>
          <w:tcPr>
            <w:tcW w:type="dxa" w:w="5102"/>
          </w:tcPr>
          <w:p>
            <w:pPr>
              <w:spacing w:after="0"/>
            </w:pPr>
            <w:r/>
            <w:r>
              <w:rPr>
                <w:b/>
                <w:sz w:val="19"/>
              </w:rPr>
              <w:t>Page title / menu wording to cover narrative reports</w:t>
            </w:r>
          </w:p>
        </w:tc>
        <w:tc>
          <w:tcPr>
            <w:tcW w:type="dxa" w:w="4535"/>
          </w:tcPr>
          <w:p>
            <w:pPr>
              <w:spacing w:after="0"/>
            </w:pPr>
            <w:r/>
            <w:r>
              <w:rPr>
                <w:b w:val="0"/>
                <w:sz w:val="19"/>
              </w:rPr>
              <w:t>LabImageReporting views</w:t>
            </w:r>
          </w:p>
        </w:tc>
      </w:tr>
    </w:tbl>
    <w:p/>
    <w:p>
      <w:pPr>
        <w:spacing w:after="120"/>
      </w:pPr>
      <w:r>
        <w:rPr>
          <w:i/>
          <w:color w:val="555F6B"/>
          <w:sz w:val="19"/>
        </w:rPr>
        <w:t>Alternative with no code change: set the 5 stains back to Image. Not recommended - the type label would be wrong.</w:t>
      </w:r>
    </w:p>
    <w:p>
      <w:pPr>
        <w:pStyle w:val="Heading2"/>
      </w:pPr>
      <w:r>
        <w:t>Step 3 - Select (picklist) parameters (medium)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2"/>
            <w:shd w:val="clear" w:color="auto" w:fill="1F3A5F"/>
          </w:tcPr>
          <w:p>
            <w:pPr>
              <w:spacing w:after="0"/>
            </w:pPr>
            <w:r/>
            <w:r>
              <w:rPr>
                <w:b/>
                <w:color w:val="FFFFFF"/>
                <w:sz w:val="19"/>
              </w:rPr>
              <w:t>Change</w:t>
            </w:r>
          </w:p>
        </w:tc>
        <w:tc>
          <w:tcPr>
            <w:tcW w:type="dxa" w:w="4535"/>
            <w:shd w:val="clear" w:color="auto" w:fill="1F3A5F"/>
          </w:tcPr>
          <w:p>
            <w:pPr>
              <w:spacing w:after="0"/>
            </w:pPr>
            <w:r/>
            <w:r>
              <w:rPr>
                <w:b/>
                <w:color w:val="FFFFFF"/>
                <w:sz w:val="19"/>
              </w:rPr>
              <w:t>Where</w:t>
            </w:r>
          </w:p>
        </w:tc>
      </w:tr>
      <w:tr>
        <w:tc>
          <w:tcPr>
            <w:tcW w:type="dxa" w:w="5102"/>
          </w:tcPr>
          <w:p>
            <w:pPr>
              <w:spacing w:after="0"/>
            </w:pPr>
            <w:r/>
            <w:r>
              <w:rPr>
                <w:b/>
                <w:sz w:val="19"/>
              </w:rPr>
              <w:t>Load Numeric + Select on entry, save, submit and approve</w:t>
            </w:r>
          </w:p>
        </w:tc>
        <w:tc>
          <w:tcPr>
            <w:tcW w:type="dxa" w:w="4535"/>
          </w:tcPr>
          <w:p>
            <w:pPr>
              <w:spacing w:after="0"/>
            </w:pPr>
            <w:r/>
            <w:r>
              <w:rPr>
                <w:b w:val="0"/>
                <w:sz w:val="19"/>
              </w:rPr>
              <w:t>LabReportingController (FilterNumericReportingOnly and GetDetailAsync calls)</w:t>
            </w:r>
          </w:p>
        </w:tc>
      </w:tr>
      <w:tr>
        <w:tc>
          <w:tcPr>
            <w:tcW w:type="dxa" w:w="5102"/>
            <w:shd w:val="clear" w:color="auto" w:fill="F3F6FA"/>
          </w:tcPr>
          <w:p>
            <w:pPr>
              <w:spacing w:after="0"/>
            </w:pPr>
            <w:r/>
            <w:r>
              <w:rPr>
                <w:b/>
                <w:sz w:val="19"/>
              </w:rPr>
              <w:t>Return each Select parameter's options (text, default, abnormal flag)</w:t>
            </w:r>
          </w:p>
        </w:tc>
        <w:tc>
          <w:tcPr>
            <w:tcW w:type="dxa" w:w="4535"/>
            <w:shd w:val="clear" w:color="auto" w:fill="F3F6FA"/>
          </w:tcPr>
          <w:p>
            <w:pPr>
              <w:spacing w:after="0"/>
            </w:pPr>
            <w:r/>
            <w:r>
              <w:rPr>
                <w:b w:val="0"/>
                <w:sz w:val="19"/>
              </w:rPr>
              <w:t>usp_LabReporting_GetDetail (new result set) + LabReportingItemDto</w:t>
            </w:r>
          </w:p>
        </w:tc>
      </w:tr>
      <w:tr>
        <w:tc>
          <w:tcPr>
            <w:tcW w:type="dxa" w:w="5102"/>
          </w:tcPr>
          <w:p>
            <w:pPr>
              <w:spacing w:after="0"/>
            </w:pPr>
            <w:r/>
            <w:r>
              <w:rPr>
                <w:b/>
                <w:sz w:val="19"/>
              </w:rPr>
              <w:t>Render a dropdown instead of the number box for Select rows</w:t>
            </w:r>
          </w:p>
        </w:tc>
        <w:tc>
          <w:tcPr>
            <w:tcW w:type="dxa" w:w="4535"/>
          </w:tcPr>
          <w:p>
            <w:pPr>
              <w:spacing w:after="0"/>
            </w:pPr>
            <w:r/>
            <w:r>
              <w:rPr>
                <w:b w:val="0"/>
                <w:sz w:val="19"/>
              </w:rPr>
              <w:t>Views/LabReporting/_LabReportingEntryRow.cshtml</w:t>
            </w:r>
          </w:p>
        </w:tc>
      </w:tr>
      <w:tr>
        <w:tc>
          <w:tcPr>
            <w:tcW w:type="dxa" w:w="5102"/>
            <w:shd w:val="clear" w:color="auto" w:fill="F3F6FA"/>
          </w:tcPr>
          <w:p>
            <w:pPr>
              <w:spacing w:after="0"/>
            </w:pPr>
            <w:r/>
            <w:r>
              <w:rPr>
                <w:b/>
                <w:sz w:val="19"/>
              </w:rPr>
              <w:t>Exempt Select rows from the "no reference range" block</w:t>
            </w:r>
          </w:p>
        </w:tc>
        <w:tc>
          <w:tcPr>
            <w:tcW w:type="dxa" w:w="4535"/>
            <w:shd w:val="clear" w:color="auto" w:fill="F3F6FA"/>
          </w:tcPr>
          <w:p>
            <w:pPr>
              <w:spacing w:after="0"/>
            </w:pPr>
            <w:r/>
            <w:r>
              <w:rPr>
                <w:b w:val="0"/>
                <w:sz w:val="19"/>
              </w:rPr>
              <w:t>_LabReportingEntryRow.cshtml (noRefRange rule)</w:t>
            </w:r>
          </w:p>
        </w:tc>
      </w:tr>
      <w:tr>
        <w:tc>
          <w:tcPr>
            <w:tcW w:type="dxa" w:w="5102"/>
          </w:tcPr>
          <w:p>
            <w:pPr>
              <w:spacing w:after="0"/>
            </w:pPr>
            <w:r/>
            <w:r>
              <w:rPr>
                <w:b/>
                <w:sz w:val="19"/>
              </w:rPr>
              <w:t>Flag abnormal from the option's Is_Abnormal, not numeric comparison</w:t>
            </w:r>
          </w:p>
        </w:tc>
        <w:tc>
          <w:tcPr>
            <w:tcW w:type="dxa" w:w="4535"/>
          </w:tcPr>
          <w:p>
            <w:pPr>
              <w:spacing w:after="0"/>
            </w:pPr>
            <w:r/>
            <w:r>
              <w:rPr>
                <w:b w:val="0"/>
                <w:sz w:val="19"/>
              </w:rPr>
              <w:t>Entry page JavaScript; save request sets AbnormalFlag</w:t>
            </w:r>
          </w:p>
        </w:tc>
      </w:tr>
      <w:tr>
        <w:tc>
          <w:tcPr>
            <w:tcW w:type="dxa" w:w="5102"/>
            <w:shd w:val="clear" w:color="auto" w:fill="F3F6FA"/>
          </w:tcPr>
          <w:p>
            <w:pPr>
              <w:spacing w:after="0"/>
            </w:pPr>
            <w:r/>
            <w:r>
              <w:rPr>
                <w:b/>
                <w:sz w:val="19"/>
              </w:rPr>
              <w:t>Print Select results with their flag</w:t>
            </w:r>
          </w:p>
        </w:tc>
        <w:tc>
          <w:tcPr>
            <w:tcW w:type="dxa" w:w="4535"/>
            <w:shd w:val="clear" w:color="auto" w:fill="F3F6FA"/>
          </w:tcPr>
          <w:p>
            <w:pPr>
              <w:spacing w:after="0"/>
            </w:pPr>
            <w:r/>
            <w:r>
              <w:rPr>
                <w:b w:val="0"/>
                <w:sz w:val="19"/>
              </w:rPr>
              <w:t>LabReportPdfService / LabReportPrintBuilder (request Numeric + Select)</w:t>
            </w:r>
          </w:p>
        </w:tc>
      </w:tr>
      <w:tr>
        <w:tc>
          <w:tcPr>
            <w:tcW w:type="dxa" w:w="5102"/>
          </w:tcPr>
          <w:p>
            <w:pPr>
              <w:spacing w:after="0"/>
            </w:pPr>
            <w:r/>
            <w:r>
              <w:rPr>
                <w:b/>
                <w:sz w:val="19"/>
              </w:rPr>
              <w:t>Show orders that contain Select parameters in the worklist</w:t>
            </w:r>
          </w:p>
        </w:tc>
        <w:tc>
          <w:tcPr>
            <w:tcW w:type="dxa" w:w="4535"/>
          </w:tcPr>
          <w:p>
            <w:pPr>
              <w:spacing w:after="0"/>
            </w:pPr>
            <w:r/>
            <w:r>
              <w:rPr>
                <w:b w:val="0"/>
                <w:sz w:val="19"/>
              </w:rPr>
              <w:t>usp_LabReporting_GetHeaderList (type list)</w:t>
            </w:r>
          </w:p>
        </w:tc>
      </w:tr>
    </w:tbl>
    <w:p/>
    <w:p>
      <w:pPr>
        <w:spacing w:after="120"/>
      </w:pPr>
      <w:r>
        <w:rPr>
          <w:i/>
          <w:color w:val="555F6B"/>
          <w:sz w:val="19"/>
        </w:rPr>
        <w:t>Saving needs no schema change: the chosen option text is stored in labentrydetails.TestValue, the same column used for numbers.</w:t>
      </w:r>
    </w:p>
    <w:p>
      <w:pPr>
        <w:jc w:val="center"/>
      </w:pPr>
      <w:r>
        <w:drawing>
          <wp:inline xmlns:a="http://schemas.openxmlformats.org/drawingml/2006/main" xmlns:pic="http://schemas.openxmlformats.org/drawingml/2006/picture">
            <wp:extent cx="6120000" cy="4236923"/>
            <wp:docPr id="2" name="Picture 2"/>
            <wp:cNvGraphicFramePr>
              <a:graphicFrameLocks noChangeAspect="1"/>
            </wp:cNvGraphicFramePr>
            <a:graphic>
              <a:graphicData uri="http://schemas.openxmlformats.org/drawingml/2006/picture">
                <pic:pic>
                  <pic:nvPicPr>
                    <pic:cNvPr id="0" name="flow2_parameter_entry.png"/>
                    <pic:cNvPicPr/>
                  </pic:nvPicPr>
                  <pic:blipFill>
                    <a:blip r:embed="rId10"/>
                    <a:stretch>
                      <a:fillRect/>
                    </a:stretch>
                  </pic:blipFill>
                  <pic:spPr>
                    <a:xfrm>
                      <a:off x="0" y="0"/>
                      <a:ext cx="6120000" cy="4236923"/>
                    </a:xfrm>
                    <a:prstGeom prst="rect"/>
                  </pic:spPr>
                </pic:pic>
              </a:graphicData>
            </a:graphic>
          </wp:inline>
        </w:drawing>
      </w:r>
    </w:p>
    <w:p>
      <w:pPr>
        <w:jc w:val="center"/>
      </w:pPr>
      <w:r>
        <w:rPr>
          <w:i/>
          <w:color w:val="555F6B"/>
          <w:sz w:val="18"/>
        </w:rPr>
        <w:t>Figure 2 - Urine / Stool Routine: how one parameter row is entered after Step 3.</w:t>
      </w:r>
    </w:p>
    <w:p>
      <w:pPr>
        <w:pStyle w:val="Heading2"/>
      </w:pPr>
      <w:r>
        <w:t>Step 4 - Culture &amp; Sensitivity (large, new page)</w:t>
      </w:r>
    </w:p>
    <w:p>
      <w:pPr>
        <w:spacing w:after="120"/>
      </w:pPr>
      <w:r>
        <w:rPr>
          <w:i w:val="0"/>
        </w:rPr>
        <w:t>Culture results do not fit a single value per row, so this step adds storage, a new entry page and a PDF section.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1F3A5F"/>
          </w:tcPr>
          <w:p>
            <w:pPr>
              <w:spacing w:after="0"/>
            </w:pPr>
            <w:r/>
            <w:r>
              <w:rPr>
                <w:b/>
                <w:color w:val="FFFFFF"/>
                <w:sz w:val="19"/>
              </w:rPr>
              <w:t>Component</w:t>
            </w:r>
          </w:p>
        </w:tc>
        <w:tc>
          <w:tcPr>
            <w:tcW w:type="dxa" w:w="7370"/>
            <w:shd w:val="clear" w:color="auto" w:fill="1F3A5F"/>
          </w:tcPr>
          <w:p>
            <w:pPr>
              <w:spacing w:after="0"/>
            </w:pPr>
            <w:r/>
            <w:r>
              <w:rPr>
                <w:b/>
                <w:color w:val="FFFFFF"/>
                <w:sz w:val="19"/>
              </w:rPr>
              <w:t>Detail</w:t>
            </w:r>
          </w:p>
        </w:tc>
      </w:tr>
      <w:tr>
        <w:tc>
          <w:tcPr>
            <w:tcW w:type="dxa" w:w="2268"/>
          </w:tcPr>
          <w:p>
            <w:pPr>
              <w:spacing w:after="0"/>
            </w:pPr>
            <w:r/>
            <w:r>
              <w:rPr>
                <w:b/>
                <w:sz w:val="19"/>
              </w:rPr>
              <w:t>New tables</w:t>
            </w:r>
          </w:p>
        </w:tc>
        <w:tc>
          <w:tcPr>
            <w:tcW w:type="dxa" w:w="7370"/>
          </w:tcPr>
          <w:p>
            <w:pPr>
              <w:spacing w:after="0"/>
            </w:pPr>
            <w:r/>
            <w:r>
              <w:rPr>
                <w:b w:val="0"/>
                <w:sz w:val="19"/>
              </w:rPr>
              <w:t>Culture result (per test: growth status, colony count, incubation, remarks) -&gt; Isolate (organism) -&gt; Sensitivity (antibiotic, S / I / R, MIC or zone, tier)</w:t>
            </w:r>
          </w:p>
        </w:tc>
      </w:tr>
      <w:tr>
        <w:tc>
          <w:tcPr>
            <w:tcW w:type="dxa" w:w="2268"/>
            <w:shd w:val="clear" w:color="auto" w:fill="F3F6FA"/>
          </w:tcPr>
          <w:p>
            <w:pPr>
              <w:spacing w:after="0"/>
            </w:pPr>
            <w:r/>
            <w:r>
              <w:rPr>
                <w:b/>
                <w:sz w:val="19"/>
              </w:rPr>
              <w:t>New entry page</w:t>
            </w:r>
          </w:p>
        </w:tc>
        <w:tc>
          <w:tcPr>
            <w:tcW w:type="dxa" w:w="7370"/>
            <w:shd w:val="clear" w:color="auto" w:fill="F3F6FA"/>
          </w:tcPr>
          <w:p>
            <w:pPr>
              <w:spacing w:after="0"/>
            </w:pPr>
            <w:r/>
            <w:r>
              <w:rPr>
                <w:b w:val="0"/>
                <w:sz w:val="19"/>
              </w:rPr>
              <w:t>Culture Reporting: worklist + entry, same approval statuses as existing pages</w:t>
            </w:r>
          </w:p>
        </w:tc>
      </w:tr>
      <w:tr>
        <w:tc>
          <w:tcPr>
            <w:tcW w:type="dxa" w:w="2268"/>
          </w:tcPr>
          <w:p>
            <w:pPr>
              <w:spacing w:after="0"/>
            </w:pPr>
            <w:r/>
            <w:r>
              <w:rPr>
                <w:b/>
                <w:sz w:val="19"/>
              </w:rPr>
              <w:t>Panel selection</w:t>
            </w:r>
          </w:p>
        </w:tc>
        <w:tc>
          <w:tcPr>
            <w:tcW w:type="dxa" w:w="7370"/>
          </w:tcPr>
          <w:p>
            <w:pPr>
              <w:spacing w:after="0"/>
            </w:pPr>
            <w:r/>
            <w:r>
              <w:rPr>
                <w:b w:val="0"/>
                <w:sz w:val="19"/>
              </w:rPr>
              <w:t>Specimen + organism category -&gt; category -&gt; Gram type (Antibiotic Panel Master)</w:t>
            </w:r>
          </w:p>
        </w:tc>
      </w:tr>
      <w:tr>
        <w:tc>
          <w:tcPr>
            <w:tcW w:type="dxa" w:w="2268"/>
            <w:shd w:val="clear" w:color="auto" w:fill="F3F6FA"/>
          </w:tcPr>
          <w:p>
            <w:pPr>
              <w:spacing w:after="0"/>
            </w:pPr>
            <w:r/>
            <w:r>
              <w:rPr>
                <w:b/>
                <w:sz w:val="19"/>
              </w:rPr>
              <w:t>AST entry</w:t>
            </w:r>
          </w:p>
        </w:tc>
        <w:tc>
          <w:tcPr>
            <w:tcW w:type="dxa" w:w="7370"/>
            <w:shd w:val="clear" w:color="auto" w:fill="F3F6FA"/>
          </w:tcPr>
          <w:p>
            <w:pPr>
              <w:spacing w:after="0"/>
            </w:pPr>
            <w:r/>
            <w:r>
              <w:rPr>
                <w:b w:val="0"/>
                <w:sz w:val="19"/>
              </w:rPr>
              <w:t>S / I / R directly, or MIC / zone interpreted with Breakpoint Master (per client)</w:t>
            </w:r>
          </w:p>
        </w:tc>
      </w:tr>
      <w:tr>
        <w:tc>
          <w:tcPr>
            <w:tcW w:type="dxa" w:w="2268"/>
          </w:tcPr>
          <w:p>
            <w:pPr>
              <w:spacing w:after="0"/>
            </w:pPr>
            <w:r/>
            <w:r>
              <w:rPr>
                <w:b/>
                <w:sz w:val="19"/>
              </w:rPr>
              <w:t>Expert rules</w:t>
            </w:r>
          </w:p>
        </w:tc>
        <w:tc>
          <w:tcPr>
            <w:tcW w:type="dxa" w:w="7370"/>
          </w:tcPr>
          <w:p>
            <w:pPr>
              <w:spacing w:after="0"/>
            </w:pPr>
            <w:r/>
            <w:r>
              <w:rPr>
                <w:b w:val="0"/>
                <w:sz w:val="19"/>
              </w:rPr>
              <w:t>Warn, report as R, or block approval (Expert Rule Master)</w:t>
            </w:r>
          </w:p>
        </w:tc>
      </w:tr>
      <w:tr>
        <w:tc>
          <w:tcPr>
            <w:tcW w:type="dxa" w:w="2268"/>
            <w:shd w:val="clear" w:color="auto" w:fill="F3F6FA"/>
          </w:tcPr>
          <w:p>
            <w:pPr>
              <w:spacing w:after="0"/>
            </w:pPr>
            <w:r/>
            <w:r>
              <w:rPr>
                <w:b/>
                <w:sz w:val="19"/>
              </w:rPr>
              <w:t>Cascade reporting</w:t>
            </w:r>
          </w:p>
        </w:tc>
        <w:tc>
          <w:tcPr>
            <w:tcW w:type="dxa" w:w="7370"/>
            <w:shd w:val="clear" w:color="auto" w:fill="F3F6FA"/>
          </w:tcPr>
          <w:p>
            <w:pPr>
              <w:spacing w:after="0"/>
            </w:pPr>
            <w:r/>
            <w:r>
              <w:rPr>
                <w:b w:val="0"/>
                <w:sz w:val="19"/>
              </w:rPr>
              <w:t>Tier 1 always printed; Tier 2-4 printed only when the cascade rule is met</w:t>
            </w:r>
          </w:p>
        </w:tc>
      </w:tr>
      <w:tr>
        <w:tc>
          <w:tcPr>
            <w:tcW w:type="dxa" w:w="2268"/>
          </w:tcPr>
          <w:p>
            <w:pPr>
              <w:spacing w:after="0"/>
            </w:pPr>
            <w:r/>
            <w:r>
              <w:rPr>
                <w:b/>
                <w:sz w:val="19"/>
              </w:rPr>
              <w:t>Patient PDF</w:t>
            </w:r>
          </w:p>
        </w:tc>
        <w:tc>
          <w:tcPr>
            <w:tcW w:type="dxa" w:w="7370"/>
          </w:tcPr>
          <w:p>
            <w:pPr>
              <w:spacing w:after="0"/>
            </w:pPr>
            <w:r/>
            <w:r>
              <w:rPr>
                <w:b w:val="0"/>
                <w:sz w:val="19"/>
              </w:rPr>
              <w:t>Culture section: growth, colony count, organism(s), sensitivity table, rule comments</w:t>
            </w:r>
          </w:p>
        </w:tc>
      </w:tr>
      <w:tr>
        <w:tc>
          <w:tcPr>
            <w:tcW w:type="dxa" w:w="2268"/>
            <w:shd w:val="clear" w:color="auto" w:fill="F3F6FA"/>
          </w:tcPr>
          <w:p>
            <w:pPr>
              <w:spacing w:after="0"/>
            </w:pPr>
            <w:r/>
            <w:r>
              <w:rPr>
                <w:b/>
                <w:sz w:val="19"/>
              </w:rPr>
              <w:t>Worklist</w:t>
            </w:r>
          </w:p>
        </w:tc>
        <w:tc>
          <w:tcPr>
            <w:tcW w:type="dxa" w:w="7370"/>
            <w:shd w:val="clear" w:color="auto" w:fill="F3F6FA"/>
          </w:tcPr>
          <w:p>
            <w:pPr>
              <w:spacing w:after="0"/>
            </w:pPr>
            <w:r/>
            <w:r>
              <w:rPr>
                <w:b w:val="0"/>
                <w:sz w:val="19"/>
              </w:rPr>
              <w:t>Include Culture in the type list</w:t>
            </w:r>
          </w:p>
        </w:tc>
      </w:tr>
    </w:tbl>
    <w:p/>
    <w:p>
      <w:pPr>
        <w:jc w:val="center"/>
      </w:pPr>
      <w:r>
        <w:drawing>
          <wp:inline xmlns:a="http://schemas.openxmlformats.org/drawingml/2006/main" xmlns:pic="http://schemas.openxmlformats.org/drawingml/2006/picture">
            <wp:extent cx="6120000" cy="6496615"/>
            <wp:docPr id="3" name="Picture 3"/>
            <wp:cNvGraphicFramePr>
              <a:graphicFrameLocks noChangeAspect="1"/>
            </wp:cNvGraphicFramePr>
            <a:graphic>
              <a:graphicData uri="http://schemas.openxmlformats.org/drawingml/2006/picture">
                <pic:pic>
                  <pic:nvPicPr>
                    <pic:cNvPr id="0" name="flow3_culture_entry.png"/>
                    <pic:cNvPicPr/>
                  </pic:nvPicPr>
                  <pic:blipFill>
                    <a:blip r:embed="rId11"/>
                    <a:stretch>
                      <a:fillRect/>
                    </a:stretch>
                  </pic:blipFill>
                  <pic:spPr>
                    <a:xfrm>
                      <a:off x="0" y="0"/>
                      <a:ext cx="6120000" cy="6496615"/>
                    </a:xfrm>
                    <a:prstGeom prst="rect"/>
                  </pic:spPr>
                </pic:pic>
              </a:graphicData>
            </a:graphic>
          </wp:inline>
        </w:drawing>
      </w:r>
    </w:p>
    <w:p>
      <w:pPr>
        <w:jc w:val="center"/>
      </w:pPr>
      <w:r>
        <w:rPr>
          <w:i/>
          <w:color w:val="555F6B"/>
          <w:sz w:val="18"/>
        </w:rPr>
        <w:t>Figure 3 - Culture &amp; Sensitivity entry flow on the new page.</w:t>
      </w:r>
    </w:p>
    <w:p>
      <w:pPr>
        <w:pStyle w:val="Heading1"/>
      </w:pPr>
      <w:r>
        <w:t>6. Recommended sequence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907"/>
            <w:shd w:val="clear" w:color="auto" w:fill="1F3A5F"/>
          </w:tcPr>
          <w:p>
            <w:pPr>
              <w:spacing w:after="0"/>
            </w:pPr>
            <w:r/>
            <w:r>
              <w:rPr>
                <w:b/>
                <w:color w:val="FFFFFF"/>
                <w:sz w:val="19"/>
              </w:rPr>
              <w:t>Order</w:t>
            </w:r>
          </w:p>
        </w:tc>
        <w:tc>
          <w:tcPr>
            <w:tcW w:type="dxa" w:w="2494"/>
            <w:shd w:val="clear" w:color="auto" w:fill="1F3A5F"/>
          </w:tcPr>
          <w:p>
            <w:pPr>
              <w:spacing w:after="0"/>
            </w:pPr>
            <w:r/>
            <w:r>
              <w:rPr>
                <w:b/>
                <w:color w:val="FFFFFF"/>
                <w:sz w:val="19"/>
              </w:rPr>
              <w:t>Step</w:t>
            </w:r>
          </w:p>
        </w:tc>
        <w:tc>
          <w:tcPr>
            <w:tcW w:type="dxa" w:w="4535"/>
            <w:shd w:val="clear" w:color="auto" w:fill="1F3A5F"/>
          </w:tcPr>
          <w:p>
            <w:pPr>
              <w:spacing w:after="0"/>
            </w:pPr>
            <w:r/>
            <w:r>
              <w:rPr>
                <w:b/>
                <w:color w:val="FFFFFF"/>
                <w:sz w:val="19"/>
              </w:rPr>
              <w:t>Unlocks</w:t>
            </w:r>
          </w:p>
        </w:tc>
        <w:tc>
          <w:tcPr>
            <w:tcW w:type="dxa" w:w="1701"/>
            <w:shd w:val="clear" w:color="auto" w:fill="1F3A5F"/>
          </w:tcPr>
          <w:p>
            <w:pPr>
              <w:spacing w:after="0"/>
            </w:pPr>
            <w:r/>
            <w:r>
              <w:rPr>
                <w:b/>
                <w:color w:val="FFFFFF"/>
                <w:sz w:val="19"/>
              </w:rPr>
              <w:t>Effort</w:t>
            </w:r>
          </w:p>
        </w:tc>
      </w:tr>
      <w:tr>
        <w:tc>
          <w:tcPr>
            <w:tcW w:type="dxa" w:w="907"/>
          </w:tcPr>
          <w:p>
            <w:pPr>
              <w:spacing w:after="0"/>
            </w:pPr>
            <w:r/>
            <w:r>
              <w:rPr>
                <w:b/>
                <w:sz w:val="19"/>
              </w:rPr>
              <w:t>1</w:t>
            </w:r>
          </w:p>
        </w:tc>
        <w:tc>
          <w:tcPr>
            <w:tcW w:type="dxa" w:w="2494"/>
          </w:tcPr>
          <w:p>
            <w:pPr>
              <w:spacing w:after="0"/>
            </w:pPr>
            <w:r/>
            <w:r>
              <w:rPr>
                <w:b w:val="0"/>
                <w:sz w:val="19"/>
              </w:rPr>
              <w:t>Configuration (done)</w:t>
            </w:r>
          </w:p>
        </w:tc>
        <w:tc>
          <w:tcPr>
            <w:tcW w:type="dxa" w:w="4535"/>
          </w:tcPr>
          <w:p>
            <w:pPr>
              <w:spacing w:after="0"/>
            </w:pPr>
            <w:r/>
            <w:r>
              <w:rPr>
                <w:b w:val="0"/>
                <w:sz w:val="19"/>
              </w:rPr>
              <w:t>Numeric parameters can be entered</w:t>
            </w:r>
          </w:p>
        </w:tc>
        <w:tc>
          <w:tcPr>
            <w:tcW w:type="dxa" w:w="1701"/>
          </w:tcPr>
          <w:p>
            <w:pPr>
              <w:spacing w:after="0"/>
            </w:pPr>
            <w:r/>
            <w:r>
              <w:rPr>
                <w:b w:val="0"/>
                <w:sz w:val="19"/>
              </w:rPr>
              <w:t>Done</w:t>
            </w:r>
          </w:p>
        </w:tc>
      </w:tr>
      <w:tr>
        <w:tc>
          <w:tcPr>
            <w:tcW w:type="dxa" w:w="907"/>
            <w:shd w:val="clear" w:color="auto" w:fill="F3F6FA"/>
          </w:tcPr>
          <w:p>
            <w:pPr>
              <w:spacing w:after="0"/>
            </w:pPr>
            <w:r/>
            <w:r>
              <w:rPr>
                <w:b/>
                <w:sz w:val="19"/>
              </w:rPr>
              <w:t>2</w:t>
            </w:r>
          </w:p>
        </w:tc>
        <w:tc>
          <w:tcPr>
            <w:tcW w:type="dxa" w:w="2494"/>
            <w:shd w:val="clear" w:color="auto" w:fill="F3F6FA"/>
          </w:tcPr>
          <w:p>
            <w:pPr>
              <w:spacing w:after="0"/>
            </w:pPr>
            <w:r/>
            <w:r>
              <w:rPr>
                <w:b w:val="0"/>
                <w:sz w:val="19"/>
              </w:rPr>
              <w:t>Descriptive stains</w:t>
            </w:r>
          </w:p>
        </w:tc>
        <w:tc>
          <w:tcPr>
            <w:tcW w:type="dxa" w:w="4535"/>
            <w:shd w:val="clear" w:color="auto" w:fill="F3F6FA"/>
          </w:tcPr>
          <w:p>
            <w:pPr>
              <w:spacing w:after="0"/>
            </w:pPr>
            <w:r/>
            <w:r>
              <w:rPr>
                <w:b w:val="0"/>
                <w:sz w:val="19"/>
              </w:rPr>
              <w:t>Gram, KOH, Wet Mount, India Ink, Albert</w:t>
            </w:r>
          </w:p>
        </w:tc>
        <w:tc>
          <w:tcPr>
            <w:tcW w:type="dxa" w:w="1701"/>
            <w:shd w:val="clear" w:color="auto" w:fill="F3F6FA"/>
          </w:tcPr>
          <w:p>
            <w:pPr>
              <w:spacing w:after="0"/>
            </w:pPr>
            <w:r/>
            <w:r>
              <w:rPr>
                <w:b w:val="0"/>
                <w:sz w:val="19"/>
              </w:rPr>
              <w:t>Small</w:t>
            </w:r>
          </w:p>
        </w:tc>
      </w:tr>
      <w:tr>
        <w:tc>
          <w:tcPr>
            <w:tcW w:type="dxa" w:w="907"/>
          </w:tcPr>
          <w:p>
            <w:pPr>
              <w:spacing w:after="0"/>
            </w:pPr>
            <w:r/>
            <w:r>
              <w:rPr>
                <w:b/>
                <w:sz w:val="19"/>
              </w:rPr>
              <w:t>3</w:t>
            </w:r>
          </w:p>
        </w:tc>
        <w:tc>
          <w:tcPr>
            <w:tcW w:type="dxa" w:w="2494"/>
          </w:tcPr>
          <w:p>
            <w:pPr>
              <w:spacing w:after="0"/>
            </w:pPr>
            <w:r/>
            <w:r>
              <w:rPr>
                <w:b w:val="0"/>
                <w:sz w:val="19"/>
              </w:rPr>
              <w:t>Select parameters</w:t>
            </w:r>
          </w:p>
        </w:tc>
        <w:tc>
          <w:tcPr>
            <w:tcW w:type="dxa" w:w="4535"/>
          </w:tcPr>
          <w:p>
            <w:pPr>
              <w:spacing w:after="0"/>
            </w:pPr>
            <w:r/>
            <w:r>
              <w:rPr>
                <w:b w:val="0"/>
                <w:sz w:val="19"/>
              </w:rPr>
              <w:t>Urine, Stool, Semen, CSF, Body Fluid fully; Sputum AFB</w:t>
            </w:r>
          </w:p>
        </w:tc>
        <w:tc>
          <w:tcPr>
            <w:tcW w:type="dxa" w:w="1701"/>
          </w:tcPr>
          <w:p>
            <w:pPr>
              <w:spacing w:after="0"/>
            </w:pPr>
            <w:r/>
            <w:r>
              <w:rPr>
                <w:b w:val="0"/>
                <w:sz w:val="19"/>
              </w:rPr>
              <w:t>Medium</w:t>
            </w:r>
          </w:p>
        </w:tc>
      </w:tr>
      <w:tr>
        <w:tc>
          <w:tcPr>
            <w:tcW w:type="dxa" w:w="907"/>
            <w:shd w:val="clear" w:color="auto" w:fill="F3F6FA"/>
          </w:tcPr>
          <w:p>
            <w:pPr>
              <w:spacing w:after="0"/>
            </w:pPr>
            <w:r/>
            <w:r>
              <w:rPr>
                <w:b/>
                <w:sz w:val="19"/>
              </w:rPr>
              <w:t>4</w:t>
            </w:r>
          </w:p>
        </w:tc>
        <w:tc>
          <w:tcPr>
            <w:tcW w:type="dxa" w:w="2494"/>
            <w:shd w:val="clear" w:color="auto" w:fill="F3F6FA"/>
          </w:tcPr>
          <w:p>
            <w:pPr>
              <w:spacing w:after="0"/>
            </w:pPr>
            <w:r/>
            <w:r>
              <w:rPr>
                <w:b w:val="0"/>
                <w:sz w:val="19"/>
              </w:rPr>
              <w:t>Culture &amp; Sensitivity</w:t>
            </w:r>
          </w:p>
        </w:tc>
        <w:tc>
          <w:tcPr>
            <w:tcW w:type="dxa" w:w="4535"/>
            <w:shd w:val="clear" w:color="auto" w:fill="F3F6FA"/>
          </w:tcPr>
          <w:p>
            <w:pPr>
              <w:spacing w:after="0"/>
            </w:pPr>
            <w:r/>
            <w:r>
              <w:rPr>
                <w:b w:val="0"/>
                <w:sz w:val="19"/>
              </w:rPr>
              <w:t>All 7 culture tests</w:t>
            </w:r>
          </w:p>
        </w:tc>
        <w:tc>
          <w:tcPr>
            <w:tcW w:type="dxa" w:w="1701"/>
            <w:shd w:val="clear" w:color="auto" w:fill="F3F6FA"/>
          </w:tcPr>
          <w:p>
            <w:pPr>
              <w:spacing w:after="0"/>
            </w:pPr>
            <w:r/>
            <w:r>
              <w:rPr>
                <w:b w:val="0"/>
                <w:sz w:val="19"/>
              </w:rPr>
              <w:t>Large</w:t>
            </w:r>
          </w:p>
        </w:tc>
      </w:tr>
    </w:tbl>
    <w:p/>
    <w:p>
      <w:pPr>
        <w:pStyle w:val="Heading1"/>
      </w:pPr>
      <w:r>
        <w:t>7. Verification checklist</w:t>
      </w:r>
    </w:p>
    <w:p>
      <w:pPr>
        <w:pStyle w:val="ListBullet"/>
        <w:spacing w:after="40"/>
      </w:pPr>
      <w:r>
        <w:t>Book Urine Routine; confirm one container / barcode for all 20 parameters at collection.</w:t>
      </w:r>
    </w:p>
    <w:p>
      <w:pPr>
        <w:pStyle w:val="ListBullet"/>
        <w:spacing w:after="40"/>
      </w:pPr>
      <w:r>
        <w:t>Enter all 20 Urine parameters; confirm Numeric flags from ranges and Select flags from options.</w:t>
      </w:r>
    </w:p>
    <w:p>
      <w:pPr>
        <w:pStyle w:val="ListBullet"/>
        <w:spacing w:after="40"/>
      </w:pPr>
      <w:r>
        <w:t>Submit, validate, approve; confirm the PDF shows both Numeric and Select results with flags.</w:t>
      </w:r>
    </w:p>
    <w:p>
      <w:pPr>
        <w:pStyle w:val="ListBullet"/>
        <w:spacing w:after="40"/>
      </w:pPr>
      <w:r>
        <w:t>Book Gram Stain; confirm it appears on the narrative reporting page with its template.</w:t>
      </w:r>
    </w:p>
    <w:p>
      <w:pPr>
        <w:pStyle w:val="ListBullet"/>
        <w:spacing w:after="40"/>
      </w:pPr>
      <w:r>
        <w:t>Book Urine C&amp;S; confirm growth, organism, panel, S / I / R, rules, tiers and PDF section.</w:t>
      </w:r>
    </w:p>
    <w:p>
      <w:pPr>
        <w:pStyle w:val="ListBullet"/>
        <w:spacing w:after="40"/>
      </w:pPr>
      <w:r>
        <w:t>Confirm an order with only microbiology tests appears in the relevant worklist.</w:t>
      </w:r>
    </w:p>
    <w:p>
      <w:pPr>
        <w:pStyle w:val="Heading1"/>
      </w:pPr>
      <w:r>
        <w:t>8. Open decisions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3A5F"/>
          </w:tcPr>
          <w:p>
            <w:pPr>
              <w:spacing w:after="0"/>
            </w:pPr>
            <w:r/>
            <w:r>
              <w:rPr>
                <w:b/>
                <w:color w:val="FFFFFF"/>
                <w:sz w:val="19"/>
              </w:rPr>
              <w:t>Decision</w:t>
            </w:r>
          </w:p>
        </w:tc>
        <w:tc>
          <w:tcPr>
            <w:tcW w:type="dxa" w:w="6236"/>
            <w:shd w:val="clear" w:color="auto" w:fill="1F3A5F"/>
          </w:tcPr>
          <w:p>
            <w:pPr>
              <w:spacing w:after="0"/>
            </w:pPr>
            <w:r/>
            <w:r>
              <w:rPr>
                <w:b/>
                <w:color w:val="FFFFFF"/>
                <w:sz w:val="19"/>
              </w:rPr>
              <w:t>Options</w:t>
            </w:r>
          </w:p>
        </w:tc>
      </w:tr>
      <w:tr>
        <w:tc>
          <w:tcPr>
            <w:tcW w:type="dxa" w:w="3402"/>
          </w:tcPr>
          <w:p>
            <w:pPr>
              <w:spacing w:after="0"/>
            </w:pPr>
            <w:r/>
            <w:r>
              <w:rPr>
                <w:b/>
                <w:sz w:val="19"/>
              </w:rPr>
              <w:t>AST entry mode per client</w:t>
            </w:r>
          </w:p>
        </w:tc>
        <w:tc>
          <w:tcPr>
            <w:tcW w:type="dxa" w:w="6236"/>
          </w:tcPr>
          <w:p>
            <w:pPr>
              <w:spacing w:after="0"/>
            </w:pPr>
            <w:r/>
            <w:r>
              <w:rPr>
                <w:b w:val="0"/>
                <w:sz w:val="19"/>
              </w:rPr>
              <w:t>S / I / R direct  |  MIC / zone  |  both</w:t>
            </w:r>
          </w:p>
        </w:tc>
      </w:tr>
      <w:tr>
        <w:tc>
          <w:tcPr>
            <w:tcW w:type="dxa" w:w="3402"/>
            <w:shd w:val="clear" w:color="auto" w:fill="F3F6FA"/>
          </w:tcPr>
          <w:p>
            <w:pPr>
              <w:spacing w:after="0"/>
            </w:pPr>
            <w:r/>
            <w:r>
              <w:rPr>
                <w:b/>
                <w:sz w:val="19"/>
              </w:rPr>
              <w:t>Breakpoint standard and version</w:t>
            </w:r>
          </w:p>
        </w:tc>
        <w:tc>
          <w:tcPr>
            <w:tcW w:type="dxa" w:w="6236"/>
            <w:shd w:val="clear" w:color="auto" w:fill="F3F6FA"/>
          </w:tcPr>
          <w:p>
            <w:pPr>
              <w:spacing w:after="0"/>
            </w:pPr>
            <w:r/>
            <w:r>
              <w:rPr>
                <w:b w:val="0"/>
                <w:sz w:val="19"/>
              </w:rPr>
              <w:t>CLSI M100 edition  |  EUCAST version</w:t>
            </w:r>
          </w:p>
        </w:tc>
      </w:tr>
      <w:tr>
        <w:tc>
          <w:tcPr>
            <w:tcW w:type="dxa" w:w="3402"/>
          </w:tcPr>
          <w:p>
            <w:pPr>
              <w:spacing w:after="0"/>
            </w:pPr>
            <w:r/>
            <w:r>
              <w:rPr>
                <w:b/>
                <w:sz w:val="19"/>
              </w:rPr>
              <w:t>Cascade reporting</w:t>
            </w:r>
          </w:p>
        </w:tc>
        <w:tc>
          <w:tcPr>
            <w:tcW w:type="dxa" w:w="6236"/>
          </w:tcPr>
          <w:p>
            <w:pPr>
              <w:spacing w:after="0"/>
            </w:pPr>
            <w:r/>
            <w:r>
              <w:rPr>
                <w:b w:val="0"/>
                <w:sz w:val="19"/>
              </w:rPr>
              <w:t>Used / not used</w:t>
            </w:r>
          </w:p>
        </w:tc>
      </w:tr>
      <w:tr>
        <w:tc>
          <w:tcPr>
            <w:tcW w:type="dxa" w:w="3402"/>
            <w:shd w:val="clear" w:color="auto" w:fill="F3F6FA"/>
          </w:tcPr>
          <w:p>
            <w:pPr>
              <w:spacing w:after="0"/>
            </w:pPr>
            <w:r/>
            <w:r>
              <w:rPr>
                <w:b/>
                <w:sz w:val="19"/>
              </w:rPr>
              <w:t>Stains page</w:t>
            </w:r>
          </w:p>
        </w:tc>
        <w:tc>
          <w:tcPr>
            <w:tcW w:type="dxa" w:w="6236"/>
            <w:shd w:val="clear" w:color="auto" w:fill="F3F6FA"/>
          </w:tcPr>
          <w:p>
            <w:pPr>
              <w:spacing w:after="0"/>
            </w:pPr>
            <w:r/>
            <w:r>
              <w:rPr>
                <w:b w:val="0"/>
                <w:sz w:val="19"/>
              </w:rPr>
              <w:t>Extend Image page to Descriptive (recommended)  |  revert stains to Image</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