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36"/>
        </w:rPr>
        <w:t>Doctor IP (Referral Doctor Commission)</w:t>
      </w:r>
    </w:p>
    <w:p>
      <w:pPr>
        <w:spacing w:after="120"/>
      </w:pPr>
      <w:r>
        <w:rPr>
          <w:rFonts w:ascii="Arial" w:hAnsi="Arial"/>
          <w:b w:val="0"/>
          <w:color w:val="595959"/>
          <w:sz w:val="20"/>
        </w:rPr>
        <w:t>Summary of work done in eClinicPlus+  |  10 October 2026</w:t>
      </w:r>
    </w:p>
    <w:p>
      <w:pPr>
        <w:spacing w:after="120"/>
      </w:pPr>
      <w:r>
        <w:rPr>
          <w:rFonts w:ascii="Arial" w:hAnsi="Arial"/>
          <w:b w:val="0"/>
        </w:rPr>
        <w:t>Doctor IP lets the lab set a commission percentage per test, profile or package for each referral doctor, compute the commission from lab bills either from a screen or by a scheduled job, and report on it.</w:t>
      </w:r>
    </w:p>
    <w:p>
      <w:pPr>
        <w:pStyle w:val="Heading1"/>
        <w:spacing w:before="280" w:after="120"/>
      </w:pPr>
      <w:r>
        <w:rPr>
          <w:rFonts w:ascii="Arial" w:hAnsi="Arial"/>
          <w:b/>
          <w:color w:val="0F766E"/>
          <w:sz w:val="28"/>
        </w:rPr>
        <w:t>1. Doctor IP Master (commission configuration)</w:t>
      </w:r>
    </w:p>
    <w:p>
      <w:pPr>
        <w:pStyle w:val="ListBullet"/>
        <w:spacing w:after="60"/>
      </w:pPr>
      <w:r>
        <w:rPr>
          <w:rFonts w:ascii="Arial" w:hAnsi="Arial"/>
          <w:b/>
        </w:rPr>
        <w:t xml:space="preserve">Set-up per doctor: </w:t>
      </w:r>
      <w:r>
        <w:rPr>
          <w:rFonts w:ascii="Arial" w:hAnsi="Arial"/>
          <w:b w:val="0"/>
        </w:rPr>
        <w:t>referral doctor, speciality, branch, effective period and frequency of disbursal (Daily, Weekly, Monthly, Quarterly, Annually).</w:t>
      </w:r>
    </w:p>
    <w:p>
      <w:pPr>
        <w:pStyle w:val="ListBullet"/>
        <w:spacing w:after="60"/>
      </w:pPr>
      <w:r>
        <w:rPr>
          <w:rFonts w:ascii="Arial" w:hAnsi="Arial"/>
          <w:b/>
        </w:rPr>
        <w:t xml:space="preserve">Rates: </w:t>
      </w:r>
      <w:r>
        <w:rPr>
          <w:rFonts w:ascii="Arial" w:hAnsi="Arial"/>
          <w:b w:val="0"/>
        </w:rPr>
        <w:t>commission % for each test, profile and package. Each row is marked with its type (Test / Profile / Package).</w:t>
      </w:r>
    </w:p>
    <w:p>
      <w:pPr>
        <w:pStyle w:val="ListBullet"/>
        <w:spacing w:after="60"/>
      </w:pPr>
      <w:r>
        <w:rPr>
          <w:rFonts w:ascii="Arial" w:hAnsi="Arial"/>
          <w:b/>
        </w:rPr>
        <w:t xml:space="preserve">Selection: </w:t>
      </w:r>
      <w:r>
        <w:rPr>
          <w:rFonts w:ascii="Arial" w:hAnsi="Arial"/>
          <w:b w:val="0"/>
        </w:rPr>
        <w:t>filters by type, department, category and sub-category narrow a dropdown; picking an item adds it to the grid. Rates can be set in bulk.</w:t>
      </w:r>
    </w:p>
    <w:p>
      <w:pPr>
        <w:pStyle w:val="ListBullet"/>
        <w:spacing w:after="60"/>
      </w:pPr>
      <w:r>
        <w:rPr>
          <w:rFonts w:ascii="Arial" w:hAnsi="Arial"/>
          <w:b/>
        </w:rPr>
        <w:t xml:space="preserve">Copy: </w:t>
      </w:r>
      <w:r>
        <w:rPr>
          <w:rFonts w:ascii="Arial" w:hAnsi="Arial"/>
          <w:b w:val="0"/>
        </w:rPr>
        <w:t>tests and rates can be copied from another doctor, behind a toggle.</w:t>
      </w:r>
    </w:p>
    <w:p>
      <w:pPr>
        <w:pStyle w:val="ListBullet"/>
        <w:spacing w:after="60"/>
      </w:pPr>
      <w:r>
        <w:rPr>
          <w:rFonts w:ascii="Arial" w:hAnsi="Arial"/>
          <w:b/>
        </w:rPr>
        <w:t xml:space="preserve">Rules: </w:t>
      </w:r>
      <w:r>
        <w:rPr>
          <w:rFonts w:ascii="Arial" w:hAnsi="Arial"/>
          <w:b w:val="0"/>
        </w:rPr>
        <w:t>one active Doctor IP per doctor per branch for any period; commission % must be between 0 and 100.</w:t>
      </w:r>
    </w:p>
    <w:p>
      <w:pPr>
        <w:pStyle w:val="Heading1"/>
        <w:spacing w:before="280" w:after="120"/>
      </w:pPr>
      <w:r>
        <w:rPr>
          <w:rFonts w:ascii="Arial" w:hAnsi="Arial"/>
          <w:b/>
          <w:color w:val="0F766E"/>
          <w:sz w:val="28"/>
        </w:rPr>
        <w:t>2. Confidentiality</w:t>
      </w:r>
    </w:p>
    <w:p>
      <w:pPr>
        <w:pStyle w:val="ListBullet"/>
        <w:spacing w:after="60"/>
      </w:pPr>
      <w:r>
        <w:rPr>
          <w:rFonts w:ascii="Arial" w:hAnsi="Arial"/>
          <w:b w:val="0"/>
        </w:rPr>
        <w:t>The Doctor IP master and the Doctor IP Commission screen are hidden from the menu and open only after an access code is entered.</w:t>
      </w:r>
    </w:p>
    <w:p>
      <w:pPr>
        <w:pStyle w:val="ListBullet"/>
        <w:spacing w:after="60"/>
      </w:pPr>
      <w:r>
        <w:rPr>
          <w:rFonts w:ascii="Arial" w:hAnsi="Arial"/>
          <w:b w:val="0"/>
        </w:rPr>
        <w:t>The code is stored as a salted hash, never as plain text. Only a Super Admin can set or change it.</w:t>
      </w:r>
    </w:p>
    <w:p>
      <w:pPr>
        <w:pStyle w:val="ListBullet"/>
        <w:spacing w:after="60"/>
      </w:pPr>
      <w:r>
        <w:rPr>
          <w:rFonts w:ascii="Arial" w:hAnsi="Arial"/>
          <w:b w:val="0"/>
        </w:rPr>
        <w:t>Five wrong attempts lock the user out for 15 minutes; the page locks again after 15 minutes without activity. Every attempt is logged.</w:t>
      </w:r>
    </w:p>
    <w:p>
      <w:pPr>
        <w:pStyle w:val="ListBullet"/>
        <w:spacing w:after="60"/>
      </w:pPr>
      <w:r>
        <w:rPr>
          <w:rFonts w:ascii="Arial" w:hAnsi="Arial"/>
          <w:b w:val="0"/>
        </w:rPr>
        <w:t>The code must be typed: the browser is not offered the code to save, and paste is blocked.</w:t>
      </w:r>
    </w:p>
    <w:p>
      <w:pPr>
        <w:pStyle w:val="Heading1"/>
        <w:spacing w:before="280" w:after="120"/>
      </w:pPr>
      <w:r>
        <w:rPr>
          <w:rFonts w:ascii="Arial" w:hAnsi="Arial"/>
          <w:b/>
          <w:color w:val="0F766E"/>
          <w:sz w:val="28"/>
        </w:rPr>
        <w:t>3. Commission calculation</w:t>
      </w:r>
    </w:p>
    <w:p>
      <w:pPr>
        <w:pStyle w:val="ListBullet"/>
        <w:spacing w:after="60"/>
      </w:pPr>
      <w:r>
        <w:rPr>
          <w:rFonts w:ascii="Arial" w:hAnsi="Arial"/>
          <w:b/>
        </w:rPr>
        <w:t xml:space="preserve">Doctor: </w:t>
      </w:r>
      <w:r>
        <w:rPr>
          <w:rFonts w:ascii="Arial" w:hAnsi="Arial"/>
          <w:b w:val="0"/>
        </w:rPr>
        <w:t>the referral doctor recorded on the lab order (Doctor Master).</w:t>
      </w:r>
    </w:p>
    <w:p>
      <w:pPr>
        <w:pStyle w:val="ListBullet"/>
        <w:spacing w:after="60"/>
      </w:pPr>
      <w:r>
        <w:rPr>
          <w:rFonts w:ascii="Arial" w:hAnsi="Arial"/>
          <w:b/>
        </w:rPr>
        <w:t xml:space="preserve">Basis: </w:t>
      </w:r>
      <w:r>
        <w:rPr>
          <w:rFonts w:ascii="Arial" w:hAnsi="Arial"/>
          <w:b w:val="0"/>
        </w:rPr>
        <w:t>actual price billed on the order item multiplied by the commission % in the doctor's Doctor IP.</w:t>
      </w:r>
    </w:p>
    <w:p>
      <w:pPr>
        <w:pStyle w:val="ListBullet"/>
        <w:spacing w:after="60"/>
      </w:pPr>
      <w:r>
        <w:rPr>
          <w:rFonts w:ascii="Arial" w:hAnsi="Arial"/>
          <w:b/>
        </w:rPr>
        <w:t xml:space="preserve">Eligibility: </w:t>
      </w:r>
      <w:r>
        <w:rPr>
          <w:rFonts w:ascii="Arial" w:hAnsi="Arial"/>
          <w:b w:val="0"/>
        </w:rPr>
        <w:t>the order date must fall inside the Doctor IP effective period, and the item must be listed in it.</w:t>
      </w:r>
    </w:p>
    <w:p>
      <w:pPr>
        <w:pStyle w:val="ListBullet"/>
        <w:spacing w:after="60"/>
      </w:pPr>
      <w:r>
        <w:rPr>
          <w:rFonts w:ascii="Arial" w:hAnsi="Arial"/>
          <w:b/>
        </w:rPr>
        <w:t xml:space="preserve">No double payment: </w:t>
      </w:r>
      <w:r>
        <w:rPr>
          <w:rFonts w:ascii="Arial" w:hAnsi="Arial"/>
          <w:b w:val="0"/>
        </w:rPr>
        <w:t>each order item is flagged once computed (is_IPGenerated) and is ignored afterwards.</w:t>
      </w:r>
    </w:p>
    <w:p>
      <w:pPr>
        <w:pStyle w:val="ListBullet"/>
        <w:spacing w:after="60"/>
      </w:pPr>
      <w:r>
        <w:rPr>
          <w:rFonts w:ascii="Arial" w:hAnsi="Arial"/>
          <w:b/>
        </w:rPr>
        <w:t xml:space="preserve">Record kept: </w:t>
      </w:r>
      <w:r>
        <w:rPr>
          <w:rFonts w:ascii="Arial" w:hAnsi="Arial"/>
          <w:b w:val="0"/>
        </w:rPr>
        <w:t>one header per doctor per run (period, frequency, totals, date of computation, who ran it, manual or scheduled) and one line per order item (order, bill, test, billed amount, rate, commission).</w:t>
      </w:r>
    </w:p>
    <w:p>
      <w:pPr>
        <w:pStyle w:val="ListBullet"/>
        <w:spacing w:after="60"/>
      </w:pPr>
      <w:r>
        <w:rPr>
          <w:rFonts w:ascii="Arial" w:hAnsi="Arial"/>
          <w:b/>
        </w:rPr>
        <w:t xml:space="preserve">Screen: </w:t>
      </w:r>
      <w:r>
        <w:rPr>
          <w:rFonts w:ascii="Arial" w:hAnsi="Arial"/>
          <w:b w:val="0"/>
        </w:rPr>
        <w:t>Doctor IP Commission shows a Pending tab with a Calculate Commission button and a Computed tab with order-wise details.</w:t>
      </w:r>
    </w:p>
    <w:p>
      <w:pPr>
        <w:pStyle w:val="Heading1"/>
        <w:spacing w:before="280" w:after="120"/>
      </w:pPr>
      <w:r>
        <w:rPr>
          <w:rFonts w:ascii="Arial" w:hAnsi="Arial"/>
          <w:b/>
          <w:color w:val="0F766E"/>
          <w:sz w:val="28"/>
        </w:rPr>
        <w:t>4. Manual / Automatic / Both</w:t>
      </w:r>
    </w:p>
    <w:p>
      <w:pPr>
        <w:spacing w:after="120"/>
      </w:pPr>
      <w:r>
        <w:rPr>
          <w:rFonts w:ascii="Arial" w:hAnsi="Arial"/>
          <w:b w:val="0"/>
        </w:rPr>
        <w:t>Set per branch in Hospital Settings &gt; LAB tab &gt; Doctor IP Commission.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0F766E"/>
          </w:tcPr>
          <w:p>
            <w:r/>
            <w:r>
              <w:rPr>
                <w:rFonts w:ascii="Arial" w:hAnsi="Arial"/>
                <w:b/>
                <w:color w:val="FFFFFF"/>
                <w:sz w:val="19"/>
              </w:rPr>
              <w:t>Mode</w:t>
            </w:r>
          </w:p>
        </w:tc>
        <w:tc>
          <w:tcPr>
            <w:tcW w:type="dxa" w:w="3402"/>
            <w:shd w:val="clear" w:color="auto" w:fill="0F766E"/>
          </w:tcPr>
          <w:p>
            <w:r/>
            <w:r>
              <w:rPr>
                <w:rFonts w:ascii="Arial" w:hAnsi="Arial"/>
                <w:b/>
                <w:color w:val="FFFFFF"/>
                <w:sz w:val="19"/>
              </w:rPr>
              <w:t>Calculate button on the screen</w:t>
            </w:r>
          </w:p>
        </w:tc>
        <w:tc>
          <w:tcPr>
            <w:tcW w:type="dxa" w:w="3402"/>
            <w:shd w:val="clear" w:color="auto" w:fill="0F766E"/>
          </w:tcPr>
          <w:p>
            <w:r/>
            <w:r>
              <w:rPr>
                <w:rFonts w:ascii="Arial" w:hAnsi="Arial"/>
                <w:b/>
                <w:color w:val="FFFFFF"/>
                <w:sz w:val="19"/>
              </w:rPr>
              <w:t>Scheduled job</w:t>
            </w:r>
          </w:p>
        </w:tc>
      </w:tr>
      <w:tr>
        <w:tc>
          <w:tcPr>
            <w:tcW w:type="dxa" w:w="2608"/>
          </w:tcPr>
          <w:p>
            <w:r/>
            <w:r>
              <w:rPr>
                <w:rFonts w:ascii="Arial" w:hAnsi="Arial"/>
                <w:b w:val="0"/>
                <w:sz w:val="19"/>
              </w:rPr>
              <w:t>Manual (default)</w:t>
            </w:r>
          </w:p>
        </w:tc>
        <w:tc>
          <w:tcPr>
            <w:tcW w:type="dxa" w:w="3402"/>
          </w:tcPr>
          <w:p>
            <w:r/>
            <w:r>
              <w:rPr>
                <w:rFonts w:ascii="Arial" w:hAnsi="Arial"/>
                <w:b w:val="0"/>
                <w:sz w:val="19"/>
              </w:rPr>
              <w:t>Available</w:t>
            </w:r>
          </w:p>
        </w:tc>
        <w:tc>
          <w:tcPr>
            <w:tcW w:type="dxa" w:w="3402"/>
          </w:tcPr>
          <w:p>
            <w:r/>
            <w:r>
              <w:rPr>
                <w:rFonts w:ascii="Arial" w:hAnsi="Arial"/>
                <w:b w:val="0"/>
                <w:sz w:val="19"/>
              </w:rPr>
              <w:t>Does not run</w:t>
            </w:r>
          </w:p>
        </w:tc>
      </w:tr>
      <w:tr>
        <w:tc>
          <w:tcPr>
            <w:tcW w:type="dxa" w:w="2608"/>
          </w:tcPr>
          <w:p>
            <w:r/>
            <w:r>
              <w:rPr>
                <w:rFonts w:ascii="Arial" w:hAnsi="Arial"/>
                <w:b w:val="0"/>
                <w:sz w:val="19"/>
              </w:rPr>
              <w:t>Automatic</w:t>
            </w:r>
          </w:p>
        </w:tc>
        <w:tc>
          <w:tcPr>
            <w:tcW w:type="dxa" w:w="3402"/>
          </w:tcPr>
          <w:p>
            <w:r/>
            <w:r>
              <w:rPr>
                <w:rFonts w:ascii="Arial" w:hAnsi="Arial"/>
                <w:b w:val="0"/>
                <w:sz w:val="19"/>
              </w:rPr>
              <w:t>Switched off</w:t>
            </w:r>
          </w:p>
        </w:tc>
        <w:tc>
          <w:tcPr>
            <w:tcW w:type="dxa" w:w="3402"/>
          </w:tcPr>
          <w:p>
            <w:r/>
            <w:r>
              <w:rPr>
                <w:rFonts w:ascii="Arial" w:hAnsi="Arial"/>
                <w:b w:val="0"/>
                <w:sz w:val="19"/>
              </w:rPr>
              <w:t>Runs daily at the scheduled time</w:t>
            </w:r>
          </w:p>
        </w:tc>
      </w:tr>
      <w:tr>
        <w:tc>
          <w:tcPr>
            <w:tcW w:type="dxa" w:w="2608"/>
          </w:tcPr>
          <w:p>
            <w:r/>
            <w:r>
              <w:rPr>
                <w:rFonts w:ascii="Arial" w:hAnsi="Arial"/>
                <w:b w:val="0"/>
                <w:sz w:val="19"/>
              </w:rPr>
              <w:t>Both</w:t>
            </w:r>
          </w:p>
        </w:tc>
        <w:tc>
          <w:tcPr>
            <w:tcW w:type="dxa" w:w="3402"/>
          </w:tcPr>
          <w:p>
            <w:r/>
            <w:r>
              <w:rPr>
                <w:rFonts w:ascii="Arial" w:hAnsi="Arial"/>
                <w:b w:val="0"/>
                <w:sz w:val="19"/>
              </w:rPr>
              <w:t>Available</w:t>
            </w:r>
          </w:p>
        </w:tc>
        <w:tc>
          <w:tcPr>
            <w:tcW w:type="dxa" w:w="3402"/>
          </w:tcPr>
          <w:p>
            <w:r/>
            <w:r>
              <w:rPr>
                <w:rFonts w:ascii="Arial" w:hAnsi="Arial"/>
                <w:b w:val="0"/>
                <w:sz w:val="19"/>
              </w:rPr>
              <w:t>Runs daily at the scheduled time</w:t>
            </w:r>
          </w:p>
        </w:tc>
      </w:tr>
    </w:tbl>
    <w:p>
      <w:pPr>
        <w:spacing w:after="40"/>
      </w:pPr>
    </w:p>
    <w:p>
      <w:pPr>
        <w:spacing w:after="120"/>
      </w:pPr>
      <w:r>
        <w:rPr>
          <w:rFonts w:ascii="Arial" w:hAnsi="Arial"/>
          <w:b w:val="0"/>
        </w:rPr>
        <w:t>The scheduled job computes only for doctors whose disbursal period has just closed: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0F766E"/>
          </w:tcPr>
          <w:p>
            <w:r/>
            <w:r>
              <w:rPr>
                <w:rFonts w:ascii="Arial" w:hAnsi="Arial"/>
                <w:b/>
                <w:color w:val="FFFFFF"/>
                <w:sz w:val="19"/>
              </w:rPr>
              <w:t>Frequency</w:t>
            </w:r>
          </w:p>
        </w:tc>
        <w:tc>
          <w:tcPr>
            <w:tcW w:type="dxa" w:w="3402"/>
            <w:shd w:val="clear" w:color="auto" w:fill="0F766E"/>
          </w:tcPr>
          <w:p>
            <w:r/>
            <w:r>
              <w:rPr>
                <w:rFonts w:ascii="Arial" w:hAnsi="Arial"/>
                <w:b/>
                <w:color w:val="FFFFFF"/>
                <w:sz w:val="19"/>
              </w:rPr>
              <w:t>Runs on</w:t>
            </w:r>
          </w:p>
        </w:tc>
        <w:tc>
          <w:tcPr>
            <w:tcW w:type="dxa" w:w="3402"/>
            <w:shd w:val="clear" w:color="auto" w:fill="0F766E"/>
          </w:tcPr>
          <w:p>
            <w:r/>
            <w:r>
              <w:rPr>
                <w:rFonts w:ascii="Arial" w:hAnsi="Arial"/>
                <w:b/>
                <w:color w:val="FFFFFF"/>
                <w:sz w:val="19"/>
              </w:rPr>
              <w:t>Period computed</w:t>
            </w:r>
          </w:p>
        </w:tc>
      </w:tr>
      <w:tr>
        <w:tc>
          <w:tcPr>
            <w:tcW w:type="dxa" w:w="2608"/>
          </w:tcPr>
          <w:p>
            <w:r/>
            <w:r>
              <w:rPr>
                <w:rFonts w:ascii="Arial" w:hAnsi="Arial"/>
                <w:b w:val="0"/>
                <w:sz w:val="19"/>
              </w:rPr>
              <w:t>Daily</w:t>
            </w:r>
          </w:p>
        </w:tc>
        <w:tc>
          <w:tcPr>
            <w:tcW w:type="dxa" w:w="3402"/>
          </w:tcPr>
          <w:p>
            <w:r/>
            <w:r>
              <w:rPr>
                <w:rFonts w:ascii="Arial" w:hAnsi="Arial"/>
                <w:b w:val="0"/>
                <w:sz w:val="19"/>
              </w:rPr>
              <w:t>Every day</w:t>
            </w:r>
          </w:p>
        </w:tc>
        <w:tc>
          <w:tcPr>
            <w:tcW w:type="dxa" w:w="3402"/>
          </w:tcPr>
          <w:p>
            <w:r/>
            <w:r>
              <w:rPr>
                <w:rFonts w:ascii="Arial" w:hAnsi="Arial"/>
                <w:b w:val="0"/>
                <w:sz w:val="19"/>
              </w:rPr>
              <w:t>Previous day</w:t>
            </w:r>
          </w:p>
        </w:tc>
      </w:tr>
      <w:tr>
        <w:tc>
          <w:tcPr>
            <w:tcW w:type="dxa" w:w="2608"/>
          </w:tcPr>
          <w:p>
            <w:r/>
            <w:r>
              <w:rPr>
                <w:rFonts w:ascii="Arial" w:hAnsi="Arial"/>
                <w:b w:val="0"/>
                <w:sz w:val="19"/>
              </w:rPr>
              <w:t>Weekly</w:t>
            </w:r>
          </w:p>
        </w:tc>
        <w:tc>
          <w:tcPr>
            <w:tcW w:type="dxa" w:w="3402"/>
          </w:tcPr>
          <w:p>
            <w:r/>
            <w:r>
              <w:rPr>
                <w:rFonts w:ascii="Arial" w:hAnsi="Arial"/>
                <w:b w:val="0"/>
                <w:sz w:val="19"/>
              </w:rPr>
              <w:t>Monday</w:t>
            </w:r>
          </w:p>
        </w:tc>
        <w:tc>
          <w:tcPr>
            <w:tcW w:type="dxa" w:w="3402"/>
          </w:tcPr>
          <w:p>
            <w:r/>
            <w:r>
              <w:rPr>
                <w:rFonts w:ascii="Arial" w:hAnsi="Arial"/>
                <w:b w:val="0"/>
                <w:sz w:val="19"/>
              </w:rPr>
              <w:t>Previous Monday to Sunday</w:t>
            </w:r>
          </w:p>
        </w:tc>
      </w:tr>
      <w:tr>
        <w:tc>
          <w:tcPr>
            <w:tcW w:type="dxa" w:w="2608"/>
          </w:tcPr>
          <w:p>
            <w:r/>
            <w:r>
              <w:rPr>
                <w:rFonts w:ascii="Arial" w:hAnsi="Arial"/>
                <w:b w:val="0"/>
                <w:sz w:val="19"/>
              </w:rPr>
              <w:t>Monthly</w:t>
            </w:r>
          </w:p>
        </w:tc>
        <w:tc>
          <w:tcPr>
            <w:tcW w:type="dxa" w:w="3402"/>
          </w:tcPr>
          <w:p>
            <w:r/>
            <w:r>
              <w:rPr>
                <w:rFonts w:ascii="Arial" w:hAnsi="Arial"/>
                <w:b w:val="0"/>
                <w:sz w:val="19"/>
              </w:rPr>
              <w:t>1st of the month</w:t>
            </w:r>
          </w:p>
        </w:tc>
        <w:tc>
          <w:tcPr>
            <w:tcW w:type="dxa" w:w="3402"/>
          </w:tcPr>
          <w:p>
            <w:r/>
            <w:r>
              <w:rPr>
                <w:rFonts w:ascii="Arial" w:hAnsi="Arial"/>
                <w:b w:val="0"/>
                <w:sz w:val="19"/>
              </w:rPr>
              <w:t>Previous month</w:t>
            </w:r>
          </w:p>
        </w:tc>
      </w:tr>
      <w:tr>
        <w:tc>
          <w:tcPr>
            <w:tcW w:type="dxa" w:w="2608"/>
          </w:tcPr>
          <w:p>
            <w:r/>
            <w:r>
              <w:rPr>
                <w:rFonts w:ascii="Arial" w:hAnsi="Arial"/>
                <w:b w:val="0"/>
                <w:sz w:val="19"/>
              </w:rPr>
              <w:t>Quarterly</w:t>
            </w:r>
          </w:p>
        </w:tc>
        <w:tc>
          <w:tcPr>
            <w:tcW w:type="dxa" w:w="3402"/>
          </w:tcPr>
          <w:p>
            <w:r/>
            <w:r>
              <w:rPr>
                <w:rFonts w:ascii="Arial" w:hAnsi="Arial"/>
                <w:b w:val="0"/>
                <w:sz w:val="19"/>
              </w:rPr>
              <w:t>1st of Jan / Apr / Jul / Oct</w:t>
            </w:r>
          </w:p>
        </w:tc>
        <w:tc>
          <w:tcPr>
            <w:tcW w:type="dxa" w:w="3402"/>
          </w:tcPr>
          <w:p>
            <w:r/>
            <w:r>
              <w:rPr>
                <w:rFonts w:ascii="Arial" w:hAnsi="Arial"/>
                <w:b w:val="0"/>
                <w:sz w:val="19"/>
              </w:rPr>
              <w:t>Previous quarter</w:t>
            </w:r>
          </w:p>
        </w:tc>
      </w:tr>
      <w:tr>
        <w:tc>
          <w:tcPr>
            <w:tcW w:type="dxa" w:w="2608"/>
          </w:tcPr>
          <w:p>
            <w:r/>
            <w:r>
              <w:rPr>
                <w:rFonts w:ascii="Arial" w:hAnsi="Arial"/>
                <w:b w:val="0"/>
                <w:sz w:val="19"/>
              </w:rPr>
              <w:t>Annually</w:t>
            </w:r>
          </w:p>
        </w:tc>
        <w:tc>
          <w:tcPr>
            <w:tcW w:type="dxa" w:w="3402"/>
          </w:tcPr>
          <w:p>
            <w:r/>
            <w:r>
              <w:rPr>
                <w:rFonts w:ascii="Arial" w:hAnsi="Arial"/>
                <w:b w:val="0"/>
                <w:sz w:val="19"/>
              </w:rPr>
              <w:t>1st January</w:t>
            </w:r>
          </w:p>
        </w:tc>
        <w:tc>
          <w:tcPr>
            <w:tcW w:type="dxa" w:w="3402"/>
          </w:tcPr>
          <w:p>
            <w:r/>
            <w:r>
              <w:rPr>
                <w:rFonts w:ascii="Arial" w:hAnsi="Arial"/>
                <w:b w:val="0"/>
                <w:sz w:val="19"/>
              </w:rPr>
              <w:t>Previous year</w:t>
            </w:r>
          </w:p>
        </w:tc>
      </w:tr>
    </w:tbl>
    <w:p>
      <w:pPr>
        <w:spacing w:after="40"/>
      </w:pPr>
    </w:p>
    <w:p>
      <w:pPr>
        <w:spacing w:after="120"/>
      </w:pPr>
      <w:r>
        <w:rPr>
          <w:rFonts w:ascii="Arial" w:hAnsi="Arial"/>
          <w:b w:val="0"/>
        </w:rPr>
        <w:t>It runs once a day per branch and each run is logged. If the server was down at the scheduled time, it runs when the server is back up on the same day.</w:t>
      </w:r>
    </w:p>
    <w:p>
      <w:pPr>
        <w:pStyle w:val="Heading1"/>
        <w:spacing w:before="280" w:after="120"/>
      </w:pPr>
      <w:r>
        <w:rPr>
          <w:rFonts w:ascii="Arial" w:hAnsi="Arial"/>
          <w:b/>
          <w:color w:val="0F766E"/>
          <w:sz w:val="28"/>
        </w:rPr>
        <w:t>5. Reports (Reports &gt; LAB)</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567"/>
            <w:shd w:val="clear" w:color="auto" w:fill="0F766E"/>
          </w:tcPr>
          <w:p>
            <w:r/>
            <w:r>
              <w:rPr>
                <w:rFonts w:ascii="Arial" w:hAnsi="Arial"/>
                <w:b/>
                <w:color w:val="FFFFFF"/>
                <w:sz w:val="19"/>
              </w:rPr>
              <w:t>#</w:t>
            </w:r>
          </w:p>
        </w:tc>
        <w:tc>
          <w:tcPr>
            <w:tcW w:type="dxa" w:w="3288"/>
            <w:shd w:val="clear" w:color="auto" w:fill="0F766E"/>
          </w:tcPr>
          <w:p>
            <w:r/>
            <w:r>
              <w:rPr>
                <w:rFonts w:ascii="Arial" w:hAnsi="Arial"/>
                <w:b/>
                <w:color w:val="FFFFFF"/>
                <w:sz w:val="19"/>
              </w:rPr>
              <w:t>Report</w:t>
            </w:r>
          </w:p>
        </w:tc>
        <w:tc>
          <w:tcPr>
            <w:tcW w:type="dxa" w:w="5556"/>
            <w:shd w:val="clear" w:color="auto" w:fill="0F766E"/>
          </w:tcPr>
          <w:p>
            <w:r/>
            <w:r>
              <w:rPr>
                <w:rFonts w:ascii="Arial" w:hAnsi="Arial"/>
                <w:b/>
                <w:color w:val="FFFFFF"/>
                <w:sz w:val="19"/>
              </w:rPr>
              <w:t>What it shows</w:t>
            </w:r>
          </w:p>
        </w:tc>
      </w:tr>
      <w:tr>
        <w:tc>
          <w:tcPr>
            <w:tcW w:type="dxa" w:w="567"/>
          </w:tcPr>
          <w:p>
            <w:r/>
            <w:r>
              <w:rPr>
                <w:rFonts w:ascii="Arial" w:hAnsi="Arial"/>
                <w:b w:val="0"/>
                <w:sz w:val="19"/>
              </w:rPr>
              <w:t>1</w:t>
            </w:r>
          </w:p>
        </w:tc>
        <w:tc>
          <w:tcPr>
            <w:tcW w:type="dxa" w:w="3288"/>
          </w:tcPr>
          <w:p>
            <w:r/>
            <w:r>
              <w:rPr>
                <w:rFonts w:ascii="Arial" w:hAnsi="Arial"/>
                <w:b w:val="0"/>
                <w:sz w:val="19"/>
              </w:rPr>
              <w:t>Referral Doctor Business</w:t>
            </w:r>
          </w:p>
        </w:tc>
        <w:tc>
          <w:tcPr>
            <w:tcW w:type="dxa" w:w="5556"/>
          </w:tcPr>
          <w:p>
            <w:r/>
            <w:r>
              <w:rPr>
                <w:rFonts w:ascii="Arial" w:hAnsi="Arial"/>
                <w:b w:val="0"/>
                <w:sz w:val="19"/>
              </w:rPr>
              <w:t>Every bill a doctor referred, with billed amount and commission computed or pending.</w:t>
            </w:r>
          </w:p>
        </w:tc>
      </w:tr>
      <w:tr>
        <w:tc>
          <w:tcPr>
            <w:tcW w:type="dxa" w:w="567"/>
          </w:tcPr>
          <w:p>
            <w:r/>
            <w:r>
              <w:rPr>
                <w:rFonts w:ascii="Arial" w:hAnsi="Arial"/>
                <w:b w:val="0"/>
                <w:sz w:val="19"/>
              </w:rPr>
              <w:t>2</w:t>
            </w:r>
          </w:p>
        </w:tc>
        <w:tc>
          <w:tcPr>
            <w:tcW w:type="dxa" w:w="3288"/>
          </w:tcPr>
          <w:p>
            <w:r/>
            <w:r>
              <w:rPr>
                <w:rFonts w:ascii="Arial" w:hAnsi="Arial"/>
                <w:b w:val="0"/>
                <w:sz w:val="19"/>
              </w:rPr>
              <w:t>Doctor IP Commission Statement</w:t>
            </w:r>
          </w:p>
        </w:tc>
        <w:tc>
          <w:tcPr>
            <w:tcW w:type="dxa" w:w="5556"/>
          </w:tcPr>
          <w:p>
            <w:r/>
            <w:r>
              <w:rPr>
                <w:rFonts w:ascii="Arial" w:hAnsi="Arial"/>
                <w:b w:val="0"/>
                <w:sz w:val="19"/>
              </w:rPr>
              <w:t>Computed commission bill by bill and test by test, by doctor, month or date.</w:t>
            </w:r>
          </w:p>
        </w:tc>
      </w:tr>
      <w:tr>
        <w:tc>
          <w:tcPr>
            <w:tcW w:type="dxa" w:w="567"/>
          </w:tcPr>
          <w:p>
            <w:r/>
            <w:r>
              <w:rPr>
                <w:rFonts w:ascii="Arial" w:hAnsi="Arial"/>
                <w:b w:val="0"/>
                <w:sz w:val="19"/>
              </w:rPr>
              <w:t>3</w:t>
            </w:r>
          </w:p>
        </w:tc>
        <w:tc>
          <w:tcPr>
            <w:tcW w:type="dxa" w:w="3288"/>
          </w:tcPr>
          <w:p>
            <w:r/>
            <w:r>
              <w:rPr>
                <w:rFonts w:ascii="Arial" w:hAnsi="Arial"/>
                <w:b w:val="0"/>
                <w:sz w:val="19"/>
              </w:rPr>
              <w:t>Test-wise Doctor IP Commission</w:t>
            </w:r>
          </w:p>
        </w:tc>
        <w:tc>
          <w:tcPr>
            <w:tcW w:type="dxa" w:w="5556"/>
          </w:tcPr>
          <w:p>
            <w:r/>
            <w:r>
              <w:rPr>
                <w:rFonts w:ascii="Arial" w:hAnsi="Arial"/>
                <w:b w:val="0"/>
                <w:sz w:val="19"/>
              </w:rPr>
              <w:t>The same commission by test, profile, package or department.</w:t>
            </w:r>
          </w:p>
        </w:tc>
      </w:tr>
      <w:tr>
        <w:tc>
          <w:tcPr>
            <w:tcW w:type="dxa" w:w="567"/>
          </w:tcPr>
          <w:p>
            <w:r/>
            <w:r>
              <w:rPr>
                <w:rFonts w:ascii="Arial" w:hAnsi="Arial"/>
                <w:b w:val="0"/>
                <w:sz w:val="19"/>
              </w:rPr>
              <w:t>4</w:t>
            </w:r>
          </w:p>
        </w:tc>
        <w:tc>
          <w:tcPr>
            <w:tcW w:type="dxa" w:w="3288"/>
          </w:tcPr>
          <w:p>
            <w:r/>
            <w:r>
              <w:rPr>
                <w:rFonts w:ascii="Arial" w:hAnsi="Arial"/>
                <w:b w:val="0"/>
                <w:sz w:val="19"/>
              </w:rPr>
              <w:t>Doctor IP Commission Pending</w:t>
            </w:r>
          </w:p>
        </w:tc>
        <w:tc>
          <w:tcPr>
            <w:tcW w:type="dxa" w:w="5556"/>
          </w:tcPr>
          <w:p>
            <w:r/>
            <w:r>
              <w:rPr>
                <w:rFonts w:ascii="Arial" w:hAnsi="Arial"/>
                <w:b w:val="0"/>
                <w:sz w:val="19"/>
              </w:rPr>
              <w:t>Items with a rate that are not computed yet, with days pending.</w:t>
            </w:r>
          </w:p>
        </w:tc>
      </w:tr>
      <w:tr>
        <w:tc>
          <w:tcPr>
            <w:tcW w:type="dxa" w:w="567"/>
          </w:tcPr>
          <w:p>
            <w:r/>
            <w:r>
              <w:rPr>
                <w:rFonts w:ascii="Arial" w:hAnsi="Arial"/>
                <w:b w:val="0"/>
                <w:sz w:val="19"/>
              </w:rPr>
              <w:t>5</w:t>
            </w:r>
          </w:p>
        </w:tc>
        <w:tc>
          <w:tcPr>
            <w:tcW w:type="dxa" w:w="3288"/>
          </w:tcPr>
          <w:p>
            <w:r/>
            <w:r>
              <w:rPr>
                <w:rFonts w:ascii="Arial" w:hAnsi="Arial"/>
                <w:b w:val="0"/>
                <w:sz w:val="19"/>
              </w:rPr>
              <w:t>Referrals without Commission Rate</w:t>
            </w:r>
          </w:p>
        </w:tc>
        <w:tc>
          <w:tcPr>
            <w:tcW w:type="dxa" w:w="5556"/>
          </w:tcPr>
          <w:p>
            <w:r/>
            <w:r>
              <w:rPr>
                <w:rFonts w:ascii="Arial" w:hAnsi="Arial"/>
                <w:b w:val="0"/>
                <w:sz w:val="19"/>
              </w:rPr>
              <w:t>Referred items earning nothing, with the reason.</w:t>
            </w:r>
          </w:p>
        </w:tc>
      </w:tr>
    </w:tbl>
    <w:p>
      <w:pPr>
        <w:spacing w:after="40"/>
      </w:pPr>
    </w:p>
    <w:p>
      <w:pPr>
        <w:spacing w:after="120"/>
      </w:pPr>
      <w:r>
        <w:rPr>
          <w:rFonts w:ascii="Arial" w:hAnsi="Arial"/>
          <w:b w:val="0"/>
        </w:rPr>
        <w:t>All five have summary and detail views, date range, search, and Excel / PDF / print. They do not need the access code and are granted to the Administrator role; Super Admin sees them automatically.</w:t>
      </w:r>
    </w:p>
    <w:p>
      <w:pPr>
        <w:pStyle w:val="Heading1"/>
        <w:spacing w:before="280" w:after="120"/>
      </w:pPr>
      <w:r>
        <w:rPr>
          <w:rFonts w:ascii="Arial" w:hAnsi="Arial"/>
          <w:b/>
          <w:color w:val="0F766E"/>
          <w:sz w:val="28"/>
        </w:rPr>
        <w:t>6. Where things are</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0F766E"/>
          </w:tcPr>
          <w:p>
            <w:r/>
            <w:r>
              <w:rPr>
                <w:rFonts w:ascii="Arial" w:hAnsi="Arial"/>
                <w:b/>
                <w:color w:val="FFFFFF"/>
                <w:sz w:val="19"/>
              </w:rPr>
              <w:t>Item</w:t>
            </w:r>
          </w:p>
        </w:tc>
        <w:tc>
          <w:tcPr>
            <w:tcW w:type="dxa" w:w="6236"/>
            <w:shd w:val="clear" w:color="auto" w:fill="0F766E"/>
          </w:tcPr>
          <w:p>
            <w:r/>
            <w:r>
              <w:rPr>
                <w:rFonts w:ascii="Arial" w:hAnsi="Arial"/>
                <w:b/>
                <w:color w:val="FFFFFF"/>
                <w:sz w:val="19"/>
              </w:rPr>
              <w:t>Location</w:t>
            </w:r>
          </w:p>
        </w:tc>
      </w:tr>
      <w:tr>
        <w:tc>
          <w:tcPr>
            <w:tcW w:type="dxa" w:w="3175"/>
          </w:tcPr>
          <w:p>
            <w:r/>
            <w:r>
              <w:rPr>
                <w:rFonts w:ascii="Arial" w:hAnsi="Arial"/>
                <w:b w:val="0"/>
                <w:sz w:val="19"/>
              </w:rPr>
              <w:t>Doctor IP master</w:t>
            </w:r>
          </w:p>
        </w:tc>
        <w:tc>
          <w:tcPr>
            <w:tcW w:type="dxa" w:w="6236"/>
          </w:tcPr>
          <w:p>
            <w:r/>
            <w:r>
              <w:rPr>
                <w:rFonts w:ascii="Arial" w:hAnsi="Arial"/>
                <w:b w:val="0"/>
                <w:sz w:val="19"/>
              </w:rPr>
              <w:t>/DoctorIp/Index (hidden, access code)</w:t>
            </w:r>
          </w:p>
        </w:tc>
      </w:tr>
      <w:tr>
        <w:tc>
          <w:tcPr>
            <w:tcW w:type="dxa" w:w="3175"/>
          </w:tcPr>
          <w:p>
            <w:r/>
            <w:r>
              <w:rPr>
                <w:rFonts w:ascii="Arial" w:hAnsi="Arial"/>
                <w:b w:val="0"/>
                <w:sz w:val="19"/>
              </w:rPr>
              <w:t>Doctor IP Commission</w:t>
            </w:r>
          </w:p>
        </w:tc>
        <w:tc>
          <w:tcPr>
            <w:tcW w:type="dxa" w:w="6236"/>
          </w:tcPr>
          <w:p>
            <w:r/>
            <w:r>
              <w:rPr>
                <w:rFonts w:ascii="Arial" w:hAnsi="Arial"/>
                <w:b w:val="0"/>
                <w:sz w:val="19"/>
              </w:rPr>
              <w:t>/DoctorIpCommission/Index (hidden, access code)</w:t>
            </w:r>
          </w:p>
        </w:tc>
      </w:tr>
      <w:tr>
        <w:tc>
          <w:tcPr>
            <w:tcW w:type="dxa" w:w="3175"/>
          </w:tcPr>
          <w:p>
            <w:r/>
            <w:r>
              <w:rPr>
                <w:rFonts w:ascii="Arial" w:hAnsi="Arial"/>
                <w:b w:val="0"/>
                <w:sz w:val="19"/>
              </w:rPr>
              <w:t>Run mode and scheduled time</w:t>
            </w:r>
          </w:p>
        </w:tc>
        <w:tc>
          <w:tcPr>
            <w:tcW w:type="dxa" w:w="6236"/>
          </w:tcPr>
          <w:p>
            <w:r/>
            <w:r>
              <w:rPr>
                <w:rFonts w:ascii="Arial" w:hAnsi="Arial"/>
                <w:b w:val="0"/>
                <w:sz w:val="19"/>
              </w:rPr>
              <w:t>Hospital Settings &gt; LAB tab</w:t>
            </w:r>
          </w:p>
        </w:tc>
      </w:tr>
      <w:tr>
        <w:tc>
          <w:tcPr>
            <w:tcW w:type="dxa" w:w="3175"/>
          </w:tcPr>
          <w:p>
            <w:r/>
            <w:r>
              <w:rPr>
                <w:rFonts w:ascii="Arial" w:hAnsi="Arial"/>
                <w:b w:val="0"/>
                <w:sz w:val="19"/>
              </w:rPr>
              <w:t>Reports</w:t>
            </w:r>
          </w:p>
        </w:tc>
        <w:tc>
          <w:tcPr>
            <w:tcW w:type="dxa" w:w="6236"/>
          </w:tcPr>
          <w:p>
            <w:r/>
            <w:r>
              <w:rPr>
                <w:rFonts w:ascii="Arial" w:hAnsi="Arial"/>
                <w:b w:val="0"/>
                <w:sz w:val="19"/>
              </w:rPr>
              <w:t>Reports &gt; LAB menu</w:t>
            </w:r>
          </w:p>
        </w:tc>
      </w:tr>
      <w:tr>
        <w:tc>
          <w:tcPr>
            <w:tcW w:type="dxa" w:w="3175"/>
          </w:tcPr>
          <w:p>
            <w:r/>
            <w:r>
              <w:rPr>
                <w:rFonts w:ascii="Arial" w:hAnsi="Arial"/>
                <w:b w:val="0"/>
                <w:sz w:val="19"/>
              </w:rPr>
              <w:t>Database scripts</w:t>
            </w:r>
          </w:p>
        </w:tc>
        <w:tc>
          <w:tcPr>
            <w:tcW w:type="dxa" w:w="6236"/>
          </w:tcPr>
          <w:p>
            <w:r/>
            <w:r>
              <w:rPr>
                <w:rFonts w:ascii="Arial" w:hAnsi="Arial"/>
                <w:b w:val="0"/>
                <w:sz w:val="19"/>
              </w:rPr>
              <w:t>2176 (master), 2220 (packages), 2221 (commission), 2222 (run mode, reports). Run in this order.</w:t>
            </w:r>
          </w:p>
        </w:tc>
      </w:tr>
    </w:tbl>
    <w:p>
      <w:pPr>
        <w:spacing w:after="40"/>
      </w:pPr>
    </w:p>
    <w:p>
      <w:pPr>
        <w:pStyle w:val="Heading1"/>
        <w:spacing w:before="280" w:after="120"/>
      </w:pPr>
      <w:r>
        <w:rPr>
          <w:rFonts w:ascii="Arial" w:hAnsi="Arial"/>
          <w:b/>
          <w:color w:val="0F766E"/>
          <w:sz w:val="28"/>
        </w:rPr>
        <w:t>7. Status</w:t>
      </w:r>
    </w:p>
    <w:p>
      <w:pPr>
        <w:pStyle w:val="ListBullet"/>
        <w:spacing w:after="60"/>
      </w:pPr>
      <w:r>
        <w:rPr>
          <w:rFonts w:ascii="Arial" w:hAnsi="Arial"/>
          <w:b w:val="0"/>
        </w:rPr>
        <w:t>Code is checked in and pushed to the main branch on GitHub.</w:t>
      </w:r>
    </w:p>
    <w:p>
      <w:pPr>
        <w:pStyle w:val="ListBullet"/>
        <w:spacing w:after="60"/>
      </w:pPr>
      <w:r>
        <w:rPr>
          <w:rFonts w:ascii="Arial" w:hAnsi="Arial"/>
          <w:b w:val="0"/>
        </w:rPr>
        <w:t>All four scripts are applied on the Dev database (Dev_EMR). Other databases still need them run.</w:t>
      </w:r>
    </w:p>
    <w:p>
      <w:pPr>
        <w:pStyle w:val="ListBullet"/>
        <w:spacing w:after="60"/>
      </w:pPr>
      <w:r>
        <w:rPr>
          <w:rFonts w:ascii="Arial" w:hAnsi="Arial"/>
          <w:b w:val="0"/>
        </w:rPr>
        <w:t>Calculation, package handling, the scheduled job and all report procedures were tested on the Dev database.</w:t>
      </w:r>
    </w:p>
    <w:p>
      <w:pPr>
        <w:pStyle w:val="ListBullet"/>
        <w:spacing w:after="60"/>
      </w:pPr>
      <w:r>
        <w:rPr>
          <w:rFonts w:ascii="Arial" w:hAnsi="Arial"/>
          <w:b w:val="0"/>
        </w:rPr>
        <w:t>The screens have not yet been tested in the browser.</w:t>
      </w:r>
    </w:p>
    <w:p>
      <w:pPr>
        <w:pStyle w:val="ListBullet"/>
        <w:spacing w:after="60"/>
      </w:pPr>
      <w:r>
        <w:rPr>
          <w:rFonts w:ascii="Arial" w:hAnsi="Arial"/>
          <w:b w:val="0"/>
        </w:rPr>
        <w:t>Report types were chosen from what lab systems generally offer for referral doctors; they were not compared against Itdose, Attune or MocDoc directly.</w:t>
      </w: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