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rPr>
          <w:b/>
        </w:rPr>
      </w:pPr>
      <w:r>
        <w:rPr>
          <w:b/>
        </w:rPr>
        <w:t xml:space="preserve">Name: </w:t>
      </w:r>
      <w:r>
        <w:rPr>
          <w:b/>
        </w:rPr>
        <w:t>Emeka Anekwe</w:t>
      </w:r>
    </w:p>
    <w:p>
      <w:pPr>
        <w:pStyle w:val="normal1"/>
        <w:rPr>
          <w:b/>
        </w:rPr>
      </w:pPr>
      <w:r>
        <w:rPr>
          <w:b/>
        </w:rPr>
        <w:t xml:space="preserve">Student ID: </w:t>
      </w:r>
      <w:r>
        <w:rPr>
          <w:b/>
        </w:rPr>
        <w:t>35117028</w:t>
      </w:r>
    </w:p>
    <w:p>
      <w:pPr>
        <w:pStyle w:val="normal1"/>
        <w:rPr>
          <w:b/>
        </w:rPr>
      </w:pPr>
      <w:r>
        <w:rPr>
          <w:b/>
        </w:rPr>
        <w:t xml:space="preserve">Date: </w:t>
      </w:r>
      <w:r>
        <w:rPr>
          <w:b/>
        </w:rPr>
        <w:t>16/4/25</w:t>
      </w:r>
    </w:p>
    <w:p>
      <w:pPr>
        <w:pStyle w:val="normal1"/>
        <w:rPr>
          <w:b/>
        </w:rPr>
      </w:pPr>
      <w:r>
        <w:rPr>
          <w:b/>
        </w:rPr>
      </w:r>
    </w:p>
    <w:p>
      <w:pPr>
        <w:pStyle w:val="normal1"/>
        <w:rPr>
          <w:b/>
        </w:rPr>
      </w:pPr>
      <w:r>
        <w:rPr>
          <w:b/>
        </w:rPr>
        <w:t xml:space="preserve">I choose the options ticked in the table below </w:t>
      </w:r>
      <w:commentRangeStart w:id="0"/>
      <w:r>
        <w:rPr>
          <w:b/>
        </w:rPr>
        <w:t xml:space="preserve">(and only these) </w:t>
      </w:r>
      <w:r>
        <w:rPr>
          <w:b/>
        </w:rPr>
      </w:r>
      <w:commentRangeEnd w:id="0"/>
      <w:r>
        <w:commentReference w:id="0"/>
      </w:r>
      <w:r>
        <w:rPr>
          <w:b/>
        </w:rPr>
        <w:t>for the configuration of my individual assignment for FIT5226, 2025. None or multiple options can be chosen. This list will be deemed final upon submission.</w:t>
      </w:r>
    </w:p>
    <w:p>
      <w:pPr>
        <w:pStyle w:val="normal1"/>
        <w:rPr>
          <w:b/>
        </w:rPr>
      </w:pPr>
      <w:r>
        <w:rPr>
          <w:b/>
        </w:rPr>
      </w:r>
    </w:p>
    <w:p>
      <w:pPr>
        <w:pStyle w:val="normal1"/>
        <w:rPr>
          <w:b/>
        </w:rPr>
      </w:pPr>
      <w:r>
        <w:rPr>
          <w:b/>
        </w:rPr>
        <w:t>In submitting this document I also confirm that I have not conferred with other students about these choices.</w:t>
      </w:r>
    </w:p>
    <w:p>
      <w:pPr>
        <w:pStyle w:val="normal1"/>
        <w:rPr>
          <w:b/>
        </w:rPr>
      </w:pPr>
      <w:r>
        <w:rPr>
          <w:b/>
        </w:rPr>
      </w:r>
    </w:p>
    <w:p>
      <w:pPr>
        <w:pStyle w:val="normal1"/>
        <w:rPr/>
      </w:pPr>
      <w:r>
        <w:rPr/>
      </w:r>
    </w:p>
    <w:tbl>
      <w:tblPr>
        <w:tblStyle w:val="Table1"/>
        <w:tblW w:w="9025" w:type="dxa"/>
        <w:jc w:val="left"/>
        <w:tblInd w:w="0" w:type="dxa"/>
        <w:tblLayout w:type="fixed"/>
        <w:tblCellMar>
          <w:top w:w="100" w:type="dxa"/>
          <w:left w:w="100" w:type="dxa"/>
          <w:bottom w:w="100" w:type="dxa"/>
          <w:right w:w="100" w:type="dxa"/>
        </w:tblCellMar>
        <w:tblLook w:val="0600"/>
      </w:tblPr>
      <w:tblGrid>
        <w:gridCol w:w="1805"/>
        <w:gridCol w:w="1805"/>
        <w:gridCol w:w="1744"/>
        <w:gridCol w:w="1866"/>
        <w:gridCol w:w="1805"/>
      </w:tblGrid>
      <w:tr>
        <w:trPr>
          <w:tblHeader w:val="true"/>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I select this option</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Option Type</w:t>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Item</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Description </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Cost</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12">
                      <wp:simplePos x="0" y="0"/>
                      <wp:positionH relativeFrom="column">
                        <wp:posOffset>314325</wp:posOffset>
                      </wp:positionH>
                      <wp:positionV relativeFrom="paragraph">
                        <wp:posOffset>438150</wp:posOffset>
                      </wp:positionV>
                      <wp:extent cx="248285" cy="248285"/>
                      <wp:effectExtent l="5715" t="5715" r="4445" b="4445"/>
                      <wp:wrapNone/>
                      <wp:docPr id="1" name="Shape 2"/>
                      <a:graphic xmlns:a="http://schemas.openxmlformats.org/drawingml/2006/main">
                        <a:graphicData uri="http://schemas.microsoft.com/office/word/2010/wordprocessingShape">
                          <wps:wsp>
                            <wps:cNvSpPr/>
                            <wps:spPr>
                              <a:xfrm>
                                <a:off x="0" y="0"/>
                                <a:ext cx="248400" cy="248400"/>
                              </a:xfrm>
                              <a:prstGeom prst="rect">
                                <a:avLst/>
                              </a:prstGeom>
                              <a:solidFill>
                                <a:srgbClr val="77bc65"/>
                              </a:solid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fillcolor="#77bc65" stroked="t" o:allowincell="f" style="position:absolute;margin-left:24.75pt;margin-top:34.5pt;width:19.5pt;height:19.5pt;mso-wrap-style:none;v-text-anchor:middle">
                      <v:fill o:detectmouseclick="t" type="solid" color2="#88439a"/>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Sensors</w:t>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State of neighbouring cells  </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sz w:val="18"/>
                <w:szCs w:val="18"/>
              </w:rPr>
              <w:t>You may augment the observation space for all agents with the occupancy state of all cells or chosen cells in the agent’s immediate 8-neighbourhood (unoccupied, occupied)</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10">
                      <wp:simplePos x="0" y="0"/>
                      <wp:positionH relativeFrom="column">
                        <wp:posOffset>314325</wp:posOffset>
                      </wp:positionH>
                      <wp:positionV relativeFrom="paragraph">
                        <wp:posOffset>400050</wp:posOffset>
                      </wp:positionV>
                      <wp:extent cx="248285" cy="248285"/>
                      <wp:effectExtent l="5715" t="5715" r="4445" b="4445"/>
                      <wp:wrapNone/>
                      <wp:docPr id="2" name="Shape 2"/>
                      <a:graphic xmlns:a="http://schemas.openxmlformats.org/drawingml/2006/main">
                        <a:graphicData uri="http://schemas.microsoft.com/office/word/2010/wordprocessingShape">
                          <wps:wsp>
                            <wps:cNvSpPr/>
                            <wps:spPr>
                              <a:xfrm>
                                <a:off x="0" y="0"/>
                                <a:ext cx="248400" cy="248400"/>
                              </a:xfrm>
                              <a:prstGeom prst="rect">
                                <a:avLst/>
                              </a:prstGeom>
                              <a:solidFill>
                                <a:srgbClr val="77bc65"/>
                              </a:solid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fillcolor="#77bc65" stroked="t" o:allowincell="f" style="position:absolute;margin-left:24.75pt;margin-top:31.5pt;width:19.5pt;height:19.5pt;mso-wrap-style:none;v-text-anchor:middle">
                      <v:fill o:detectmouseclick="t" type="solid" color2="#88439a"/>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State of neighbouring cells checked for agents of opposite type </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8"/>
                <w:szCs w:val="18"/>
              </w:rPr>
            </w:pPr>
            <w:r>
              <w:rPr>
                <w:sz w:val="18"/>
                <w:szCs w:val="18"/>
              </w:rPr>
              <w:t xml:space="preserve">As per previous entry, only cells that contain  an agent going in the opposite direction (as defined above) will be marked as occupied. </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8">
                      <wp:simplePos x="0" y="0"/>
                      <wp:positionH relativeFrom="column">
                        <wp:posOffset>314325</wp:posOffset>
                      </wp:positionH>
                      <wp:positionV relativeFrom="paragraph">
                        <wp:posOffset>624840</wp:posOffset>
                      </wp:positionV>
                      <wp:extent cx="248285" cy="248285"/>
                      <wp:effectExtent l="5715" t="5715" r="4445" b="4445"/>
                      <wp:wrapNone/>
                      <wp:docPr id="3" name="Shape 2"/>
                      <a:graphic xmlns:a="http://schemas.openxmlformats.org/drawingml/2006/main">
                        <a:graphicData uri="http://schemas.microsoft.com/office/word/2010/wordprocessingShape">
                          <wps:wsp>
                            <wps:cNvSpPr/>
                            <wps:spPr>
                              <a:xfrm>
                                <a:off x="0" y="0"/>
                                <a:ext cx="248400" cy="2484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24.75pt;margin-top:49.2pt;width:19.5pt;height:19.5pt;mso-wrap-style:none;v-text-anchor:middle">
                      <v:fill o:detectmouseclick="t" on="false"/>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Coordination</w:t>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Central clock</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8"/>
                <w:szCs w:val="18"/>
              </w:rPr>
            </w:pPr>
            <w:r>
              <w:rPr>
                <w:sz w:val="18"/>
                <w:szCs w:val="18"/>
              </w:rPr>
              <w:t xml:space="preserve">This allows you to coordinate the update schedule of your agents. Instead of having to update all agents in random order (as described above) you can update them in round-robin fashion or any other order that you determine. </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6">
                      <wp:simplePos x="0" y="0"/>
                      <wp:positionH relativeFrom="column">
                        <wp:posOffset>314325</wp:posOffset>
                      </wp:positionH>
                      <wp:positionV relativeFrom="paragraph">
                        <wp:posOffset>537210</wp:posOffset>
                      </wp:positionV>
                      <wp:extent cx="248285" cy="248285"/>
                      <wp:effectExtent l="5715" t="5715" r="4445" b="4445"/>
                      <wp:wrapNone/>
                      <wp:docPr id="4" name="Shape 2"/>
                      <a:graphic xmlns:a="http://schemas.openxmlformats.org/drawingml/2006/main">
                        <a:graphicData uri="http://schemas.microsoft.com/office/word/2010/wordprocessingShape">
                          <wps:wsp>
                            <wps:cNvSpPr/>
                            <wps:spPr>
                              <a:xfrm>
                                <a:off x="0" y="0"/>
                                <a:ext cx="248400" cy="2484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24.75pt;margin-top:42.3pt;width:19.5pt;height:19.5pt;mso-wrap-style:none;v-text-anchor:middle">
                      <v:fill o:detectmouseclick="t" on="false"/>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Training conditions</w:t>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Off-the-job training</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8"/>
                <w:szCs w:val="18"/>
              </w:rPr>
            </w:pPr>
            <w:r>
              <w:rPr>
                <w:sz w:val="18"/>
                <w:szCs w:val="18"/>
              </w:rPr>
              <w:t xml:space="preserve">Instead of having to learn with each episode starting from random locations for all agents and A, B you can define a schedule for the configuration at the start of training episodes. </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4">
                      <wp:simplePos x="0" y="0"/>
                      <wp:positionH relativeFrom="column">
                        <wp:posOffset>314325</wp:posOffset>
                      </wp:positionH>
                      <wp:positionV relativeFrom="paragraph">
                        <wp:posOffset>885825</wp:posOffset>
                      </wp:positionV>
                      <wp:extent cx="248285" cy="248285"/>
                      <wp:effectExtent l="5715" t="5715" r="4445" b="4445"/>
                      <wp:wrapNone/>
                      <wp:docPr id="5" name="Shape 2"/>
                      <a:graphic xmlns:a="http://schemas.openxmlformats.org/drawingml/2006/main">
                        <a:graphicData uri="http://schemas.microsoft.com/office/word/2010/wordprocessingShape">
                          <wps:wsp>
                            <wps:cNvSpPr/>
                            <wps:spPr>
                              <a:xfrm>
                                <a:off x="0" y="0"/>
                                <a:ext cx="248400" cy="2484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24.75pt;margin-top:69.75pt;width:19.5pt;height:19.5pt;mso-wrap-style:none;v-text-anchor:middle">
                      <v:fill o:detectmouseclick="t" on="false"/>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Staged Training</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8"/>
                <w:szCs w:val="18"/>
              </w:rPr>
            </w:pPr>
            <w:r>
              <w:rPr>
                <w:sz w:val="18"/>
                <w:szCs w:val="18"/>
              </w:rPr>
              <w:t>Instead of letting the agents learn everything in a single type of training run you may break the training into different phases (eg. with different grid sizes, different numbers of agents, different penalty schemata, etc.) Q-tables or q-networks may be passed between the stages.</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w:t>
            </w:r>
          </w:p>
        </w:tc>
      </w:tr>
      <w:tr>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mc:AlternateContent>
                <mc:Choice Requires="wps">
                  <w:drawing>
                    <wp:anchor behindDoc="0" distT="0" distB="0" distL="0" distR="0" simplePos="0" locked="0" layoutInCell="1" allowOverlap="1" relativeHeight="2">
                      <wp:simplePos x="0" y="0"/>
                      <wp:positionH relativeFrom="column">
                        <wp:posOffset>314325</wp:posOffset>
                      </wp:positionH>
                      <wp:positionV relativeFrom="paragraph">
                        <wp:posOffset>838200</wp:posOffset>
                      </wp:positionV>
                      <wp:extent cx="248285" cy="248285"/>
                      <wp:effectExtent l="5715" t="5715" r="4445" b="4445"/>
                      <wp:wrapNone/>
                      <wp:docPr id="6" name="Shape 2"/>
                      <a:graphic xmlns:a="http://schemas.openxmlformats.org/drawingml/2006/main">
                        <a:graphicData uri="http://schemas.microsoft.com/office/word/2010/wordprocessingShape">
                          <wps:wsp>
                            <wps:cNvSpPr/>
                            <wps:spPr>
                              <a:xfrm>
                                <a:off x="0" y="0"/>
                                <a:ext cx="248400" cy="24840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center"/>
                                    <w:rPr/>
                                  </w:pPr>
                                  <w:r>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24.75pt;margin-top:66pt;width:19.5pt;height:19.5pt;mso-wrap-style:none;v-text-anchor:middle">
                      <v:fill o:detectmouseclick="t" on="false"/>
                      <v:stroke color="black" weight="9360" joinstyle="round" endcap="flat"/>
                      <v:textbox>
                        <w:txbxContent>
                          <w:p>
                            <w:pPr>
                              <w:pStyle w:val="FrameContents"/>
                              <w:spacing w:lineRule="exact" w:line="240" w:before="0" w:after="0"/>
                              <w:ind w:hanging="0" w:left="0" w:right="0"/>
                              <w:jc w:val="center"/>
                              <w:rPr/>
                            </w:pPr>
                            <w:r>
                              <w:rPr/>
                            </w:r>
                          </w:p>
                        </w:txbxContent>
                      </v:textbox>
                      <w10:wrap type="none"/>
                    </v:rect>
                  </w:pict>
                </mc:Fallback>
              </mc:AlternateConten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Setup</w:t>
            </w:r>
          </w:p>
        </w:tc>
        <w:tc>
          <w:tcPr>
            <w:tcW w:w="17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Fixed delivery location B</w:t>
            </w:r>
          </w:p>
        </w:tc>
        <w:tc>
          <w:tcPr>
            <w:tcW w:w="18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18"/>
                <w:szCs w:val="18"/>
              </w:rPr>
            </w:pPr>
            <w:r>
              <w:rPr>
                <w:sz w:val="18"/>
                <w:szCs w:val="18"/>
              </w:rPr>
              <w:t xml:space="preserve">Instead of having to service an (observable) random delivery location, the target location B is always in the bottom right corner of the grid. However, if you choose this option, the agents can no longer observe the location of B. Instead, they have to discover it. </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w:t>
            </w:r>
          </w:p>
        </w:tc>
      </w:tr>
    </w:tbl>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steban Larach Kaschel" w:date="2025-04-14T23:13:03Z" w:initials="">
    <w:p>
      <w:pPr>
        <w:overflowPunct w:val="false"/>
        <w:spacing w:lineRule="auto" w:line="240"/>
        <w:rPr/>
      </w:pPr>
      <w:r>
        <w:rPr>
          <w:rFonts w:ascii="Arial" w:hAnsi="Arial" w:eastAsia="Arial" w:cs="Arial"/>
          <w:b w:val="false"/>
          <w:i w:val="false"/>
          <w:caps w:val="false"/>
          <w:smallCaps w:val="false"/>
          <w:strike w:val="false"/>
          <w:dstrike w:val="false"/>
          <w:color w:val="000000"/>
          <w:position w:val="0"/>
          <w:sz w:val="22"/>
          <w:sz w:val="22"/>
          <w:szCs w:val="22"/>
          <w:u w:val="none"/>
          <w:shd w:fill="auto" w:val="clear"/>
          <w:vertAlign w:val="baseline"/>
          <w:lang w:eastAsia="en-US" w:bidi="en-US"/>
        </w:rPr>
        <w:t>If they submit early bird purchases, they can still submit later options at full price. Will they have to submit another contract, or just use those new options?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2</Pages>
  <Words>316</Words>
  <Characters>1612</Characters>
  <CharactersWithSpaces>1905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2025-04-16T13:37:09Z</dcterms:modified>
  <cp:revision>1</cp:revision>
  <dc:subject/>
  <dc:title/>
</cp:coreProperties>
</file>