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3">
      <w:pPr>
        <w:pStyle w:val="Title"/>
        <w:keepNext w:val="0"/>
        <w:keepLines w:val="0"/>
        <w:widowControl w:val="0"/>
        <w:spacing w:after="0" w:before="52" w:lineRule="auto"/>
        <w:ind w:left="2" w:right="1" w:firstLine="0"/>
        <w:jc w:val="center"/>
        <w:rPr>
          <w:rFonts w:ascii="Arial" w:cs="Arial" w:eastAsia="Arial" w:hAnsi="Arial"/>
          <w:sz w:val="32"/>
          <w:szCs w:val="32"/>
        </w:rPr>
      </w:pPr>
      <w:bookmarkStart w:colFirst="0" w:colLast="0" w:name="_heading=h.24ckiyr509d" w:id="0"/>
      <w:bookmarkEnd w:id="0"/>
      <w:r w:rsidDel="00000000" w:rsidR="00000000" w:rsidRPr="00000000">
        <w:rPr>
          <w:rFonts w:ascii="Arial" w:cs="Arial" w:eastAsia="Arial" w:hAnsi="Arial"/>
          <w:sz w:val="32"/>
          <w:szCs w:val="32"/>
          <w:rtl w:val="0"/>
        </w:rPr>
        <w:t xml:space="preserve">CONVENTION DE TRÉSORERIE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116" w:right="0" w:firstLine="116"/>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ENTRE LES SOUSSIGNÉS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6"/>
        </w:tabs>
        <w:spacing w:after="0" w:before="180" w:line="240" w:lineRule="auto"/>
        <w:ind w:left="476"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ab/>
      </w:r>
      <w:r w:rsidDel="00000000" w:rsidR="00000000" w:rsidRPr="00000000">
        <w:rPr>
          <w:rFonts w:ascii="Arial" w:cs="Arial" w:eastAsia="Arial" w:hAnsi="Arial"/>
          <w:b w:val="1"/>
          <w:i w:val="0"/>
          <w:smallCaps w:val="0"/>
          <w:strike w:val="0"/>
          <w:color w:val="ff0000"/>
          <w:sz w:val="22"/>
          <w:szCs w:val="22"/>
          <w:u w:val="none"/>
          <w:shd w:fill="auto" w:val="clear"/>
          <w:vertAlign w:val="baseline"/>
          <w:rtl w:val="0"/>
        </w:rPr>
        <w:t xml:space="preserve">NOM SOCIÉTÉ</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6"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Statut juridique de la société</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au capital de </w:t>
      </w: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X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euros,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836"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Ayant son siège social au </w:t>
      </w:r>
      <w:r w:rsidDel="00000000" w:rsidR="00000000" w:rsidRPr="00000000">
        <w:rPr>
          <w:rFonts w:ascii="Arial" w:cs="Arial" w:eastAsia="Arial" w:hAnsi="Arial"/>
          <w:color w:val="ff0000"/>
          <w:sz w:val="22"/>
          <w:szCs w:val="22"/>
          <w:rtl w:val="0"/>
        </w:rPr>
        <w:t xml:space="preserve">adresse complète</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59" w:lineRule="auto"/>
        <w:ind w:left="836" w:right="111"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Immatriculée au registre du commerce et des sociétés sous le numéro </w:t>
      </w: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N° SIRET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RCS </w:t>
      </w:r>
      <w:r w:rsidDel="00000000" w:rsidR="00000000" w:rsidRPr="00000000">
        <w:rPr>
          <w:rFonts w:ascii="Arial" w:cs="Arial" w:eastAsia="Arial" w:hAnsi="Arial"/>
          <w:color w:val="ff0000"/>
          <w:sz w:val="22"/>
          <w:szCs w:val="22"/>
          <w:rtl w:val="0"/>
        </w:rPr>
        <w:t xml:space="preserve">Ville</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59" w:lineRule="auto"/>
        <w:ind w:left="836"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Représ</w:t>
      </w:r>
      <w:r w:rsidDel="00000000" w:rsidR="00000000" w:rsidRPr="00000000">
        <w:rPr>
          <w:rFonts w:ascii="Arial" w:cs="Arial" w:eastAsia="Arial" w:hAnsi="Arial"/>
          <w:sz w:val="22"/>
          <w:szCs w:val="22"/>
          <w:rtl w:val="0"/>
        </w:rPr>
        <w:t xml:space="preserve">e</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ntée par </w:t>
      </w:r>
      <w:r w:rsidDel="00000000" w:rsidR="00000000" w:rsidRPr="00000000">
        <w:rPr>
          <w:rFonts w:ascii="Arial" w:cs="Arial" w:eastAsia="Arial" w:hAnsi="Arial"/>
          <w:sz w:val="22"/>
          <w:szCs w:val="22"/>
          <w:rtl w:val="0"/>
        </w:rPr>
        <w:t xml:space="preserve">M./Mme </w:t>
      </w:r>
      <w:r w:rsidDel="00000000" w:rsidR="00000000" w:rsidRPr="00000000">
        <w:rPr>
          <w:rFonts w:ascii="Arial" w:cs="Arial" w:eastAsia="Arial" w:hAnsi="Arial"/>
          <w:color w:val="ff0000"/>
          <w:sz w:val="22"/>
          <w:szCs w:val="22"/>
          <w:rtl w:val="0"/>
        </w:rPr>
        <w:t xml:space="preserve">NOM / Prénom</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Président(e</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de la société, née </w:t>
      </w: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le .../.</w:t>
      </w:r>
      <w:r w:rsidDel="00000000" w:rsidR="00000000" w:rsidRPr="00000000">
        <w:rPr>
          <w:rFonts w:ascii="Arial" w:cs="Arial" w:eastAsia="Arial" w:hAnsi="Arial"/>
          <w:color w:val="ff0000"/>
          <w:sz w:val="22"/>
          <w:szCs w:val="22"/>
          <w:rtl w:val="0"/>
        </w:rPr>
        <w:t xml:space="preserve">.</w:t>
      </w: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à </w:t>
      </w:r>
      <w:r w:rsidDel="00000000" w:rsidR="00000000" w:rsidRPr="00000000">
        <w:rPr>
          <w:rFonts w:ascii="Arial" w:cs="Arial" w:eastAsia="Arial" w:hAnsi="Arial"/>
          <w:color w:val="ff0000"/>
          <w:sz w:val="22"/>
          <w:szCs w:val="22"/>
          <w:rtl w:val="0"/>
        </w:rPr>
        <w:t xml:space="preserve">Ville</w:t>
      </w: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domiciliée </w:t>
      </w:r>
      <w:r w:rsidDel="00000000" w:rsidR="00000000" w:rsidRPr="00000000">
        <w:rPr>
          <w:rFonts w:ascii="Arial" w:cs="Arial" w:eastAsia="Arial" w:hAnsi="Arial"/>
          <w:color w:val="ff0000"/>
          <w:sz w:val="22"/>
          <w:szCs w:val="22"/>
          <w:rtl w:val="0"/>
        </w:rPr>
        <w:t xml:space="preserve">adresse.</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 w:right="-337.7952755905511"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Ci-après désignée la société </w:t>
      </w: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1"/>
          <w:smallCaps w:val="0"/>
          <w:strike w:val="0"/>
          <w:color w:val="ff0000"/>
          <w:sz w:val="22"/>
          <w:szCs w:val="22"/>
          <w:u w:val="none"/>
          <w:shd w:fill="auto" w:val="clear"/>
          <w:vertAlign w:val="baseline"/>
          <w:rtl w:val="0"/>
        </w:rPr>
        <w:t xml:space="preserve">nom société </w:t>
      </w: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113"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D’UNE PART,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 w:right="0" w:firstLine="0"/>
        <w:jc w:val="left"/>
        <w:rPr>
          <w:rFonts w:ascii="Arial" w:cs="Arial" w:eastAsia="Arial" w:hAnsi="Arial"/>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ET</w:t>
      </w:r>
      <w:r w:rsidDel="00000000" w:rsidR="00000000" w:rsidRPr="00000000">
        <w:rPr>
          <w:rtl w:val="0"/>
        </w:rPr>
      </w:r>
    </w:p>
    <w:p w:rsidR="00000000" w:rsidDel="00000000" w:rsidP="00000000" w:rsidRDefault="00000000" w:rsidRPr="00000000" w14:paraId="00000014">
      <w:pPr>
        <w:widowControl w:val="0"/>
        <w:tabs>
          <w:tab w:val="left" w:leader="none" w:pos="836"/>
        </w:tabs>
        <w:spacing w:before="180" w:lineRule="auto"/>
        <w:ind w:left="476" w:firstLine="0"/>
        <w:rPr>
          <w:rFonts w:ascii="Arial" w:cs="Arial" w:eastAsia="Arial" w:hAnsi="Arial"/>
          <w:b w:val="1"/>
          <w:sz w:val="22"/>
          <w:szCs w:val="22"/>
        </w:rPr>
      </w:pPr>
      <w:r w:rsidDel="00000000" w:rsidR="00000000" w:rsidRPr="00000000">
        <w:rPr>
          <w:rFonts w:ascii="Arial" w:cs="Arial" w:eastAsia="Arial" w:hAnsi="Arial"/>
          <w:b w:val="1"/>
          <w:color w:val="ff0000"/>
          <w:sz w:val="22"/>
          <w:szCs w:val="22"/>
          <w:rtl w:val="0"/>
        </w:rPr>
        <w:tab/>
        <w:t xml:space="preserve">NOM SOCIÉTÉ</w:t>
      </w:r>
      <w:r w:rsidDel="00000000" w:rsidR="00000000" w:rsidRPr="00000000">
        <w:rPr>
          <w:rtl w:val="0"/>
        </w:rPr>
      </w:r>
    </w:p>
    <w:p w:rsidR="00000000" w:rsidDel="00000000" w:rsidP="00000000" w:rsidRDefault="00000000" w:rsidRPr="00000000" w14:paraId="00000015">
      <w:pPr>
        <w:widowControl w:val="0"/>
        <w:ind w:left="836" w:firstLine="0"/>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Statut juridique de la société</w:t>
      </w:r>
      <w:r w:rsidDel="00000000" w:rsidR="00000000" w:rsidRPr="00000000">
        <w:rPr>
          <w:rFonts w:ascii="Arial" w:cs="Arial" w:eastAsia="Arial" w:hAnsi="Arial"/>
          <w:sz w:val="22"/>
          <w:szCs w:val="22"/>
          <w:rtl w:val="0"/>
        </w:rPr>
        <w:t xml:space="preserve">, au capital de </w:t>
      </w:r>
      <w:r w:rsidDel="00000000" w:rsidR="00000000" w:rsidRPr="00000000">
        <w:rPr>
          <w:rFonts w:ascii="Arial" w:cs="Arial" w:eastAsia="Arial" w:hAnsi="Arial"/>
          <w:color w:val="ff0000"/>
          <w:sz w:val="22"/>
          <w:szCs w:val="22"/>
          <w:rtl w:val="0"/>
        </w:rPr>
        <w:t xml:space="preserve">X </w:t>
      </w:r>
      <w:r w:rsidDel="00000000" w:rsidR="00000000" w:rsidRPr="00000000">
        <w:rPr>
          <w:rFonts w:ascii="Arial" w:cs="Arial" w:eastAsia="Arial" w:hAnsi="Arial"/>
          <w:sz w:val="22"/>
          <w:szCs w:val="22"/>
          <w:rtl w:val="0"/>
        </w:rPr>
        <w:t xml:space="preserve">euros,</w:t>
      </w:r>
    </w:p>
    <w:p w:rsidR="00000000" w:rsidDel="00000000" w:rsidP="00000000" w:rsidRDefault="00000000" w:rsidRPr="00000000" w14:paraId="00000016">
      <w:pPr>
        <w:widowControl w:val="0"/>
        <w:spacing w:before="22" w:lineRule="auto"/>
        <w:ind w:left="836"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Ayant son siège social au </w:t>
      </w:r>
      <w:r w:rsidDel="00000000" w:rsidR="00000000" w:rsidRPr="00000000">
        <w:rPr>
          <w:rFonts w:ascii="Arial" w:cs="Arial" w:eastAsia="Arial" w:hAnsi="Arial"/>
          <w:color w:val="ff0000"/>
          <w:sz w:val="22"/>
          <w:szCs w:val="22"/>
          <w:rtl w:val="0"/>
        </w:rPr>
        <w:t xml:space="preserve">adresse complète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836" w:right="109"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Immatriculée au registre du commerce et des sociétés sous le numéro </w:t>
      </w: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N° SIRET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RCS </w:t>
      </w: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V</w:t>
      </w:r>
      <w:r w:rsidDel="00000000" w:rsidR="00000000" w:rsidRPr="00000000">
        <w:rPr>
          <w:rFonts w:ascii="Arial" w:cs="Arial" w:eastAsia="Arial" w:hAnsi="Arial"/>
          <w:color w:val="ff0000"/>
          <w:sz w:val="22"/>
          <w:szCs w:val="22"/>
          <w:rtl w:val="0"/>
        </w:rPr>
        <w:t xml:space="preserve">ille</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Représentée par la société </w:t>
      </w:r>
      <w:r w:rsidDel="00000000" w:rsidR="00000000" w:rsidRPr="00000000">
        <w:rPr>
          <w:rFonts w:ascii="Arial" w:cs="Arial" w:eastAsia="Arial" w:hAnsi="Arial"/>
          <w:b w:val="1"/>
          <w:i w:val="0"/>
          <w:smallCaps w:val="0"/>
          <w:strike w:val="0"/>
          <w:color w:val="ff0000"/>
          <w:sz w:val="22"/>
          <w:szCs w:val="22"/>
          <w:u w:val="none"/>
          <w:shd w:fill="auto" w:val="clear"/>
          <w:vertAlign w:val="baseline"/>
          <w:rtl w:val="0"/>
        </w:rPr>
        <w:t xml:space="preserve">NOM SOCIÉTÉ</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dont l</w:t>
      </w:r>
      <w:r w:rsidDel="00000000" w:rsidR="00000000" w:rsidRPr="00000000">
        <w:rPr>
          <w:rFonts w:ascii="Arial" w:cs="Arial" w:eastAsia="Arial" w:hAnsi="Arial"/>
          <w:sz w:val="22"/>
          <w:szCs w:val="22"/>
          <w:rtl w:val="0"/>
        </w:rPr>
        <w:t xml:space="preserve">e/la</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Président(e) est M ou Mme </w:t>
      </w: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NOM / </w:t>
      </w:r>
      <w:r w:rsidDel="00000000" w:rsidR="00000000" w:rsidRPr="00000000">
        <w:rPr>
          <w:rFonts w:ascii="Arial" w:cs="Arial" w:eastAsia="Arial" w:hAnsi="Arial"/>
          <w:color w:val="ff0000"/>
          <w:sz w:val="22"/>
          <w:szCs w:val="22"/>
          <w:rtl w:val="0"/>
        </w:rPr>
        <w:t xml:space="preserve">Prénom</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et le Directeur Général est M ou Mme </w:t>
      </w:r>
      <w:r w:rsidDel="00000000" w:rsidR="00000000" w:rsidRPr="00000000">
        <w:rPr>
          <w:rFonts w:ascii="Arial" w:cs="Arial" w:eastAsia="Arial" w:hAnsi="Arial"/>
          <w:color w:val="ff0000"/>
          <w:sz w:val="22"/>
          <w:szCs w:val="22"/>
          <w:rtl w:val="0"/>
        </w:rPr>
        <w:t xml:space="preserve">NOM / Prénom.</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112" w:firstLine="0"/>
        <w:jc w:val="righ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Ci-Après désignée la société </w:t>
      </w: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1"/>
          <w:smallCaps w:val="0"/>
          <w:strike w:val="0"/>
          <w:color w:val="ff0000"/>
          <w:sz w:val="22"/>
          <w:szCs w:val="22"/>
          <w:u w:val="none"/>
          <w:shd w:fill="auto" w:val="clear"/>
          <w:vertAlign w:val="baseline"/>
          <w:rtl w:val="0"/>
        </w:rPr>
        <w:t xml:space="preserve">nom société </w:t>
      </w: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 w:firstLine="0"/>
        <w:jc w:val="right"/>
        <w:rPr>
          <w:rFonts w:ascii="Arial" w:cs="Arial" w:eastAsia="Arial" w:hAnsi="Arial"/>
          <w:b w:val="1"/>
          <w:i w:val="0"/>
          <w:smallCaps w:val="0"/>
          <w:strike w:val="0"/>
          <w:color w:val="000000"/>
          <w:sz w:val="22"/>
          <w:szCs w:val="22"/>
          <w:u w:val="none"/>
          <w:shd w:fill="auto" w:val="clear"/>
          <w:vertAlign w:val="baseline"/>
        </w:rPr>
        <w:sectPr>
          <w:headerReference r:id="rId7" w:type="default"/>
          <w:footerReference r:id="rId8" w:type="default"/>
          <w:pgSz w:h="16840" w:w="11920" w:orient="portrait"/>
          <w:pgMar w:bottom="1200" w:top="1360" w:left="1300" w:right="1300" w:header="0" w:footer="720"/>
          <w:pgNumType w:start="1"/>
        </w:sect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D’AUTRE PART,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16"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2"/>
          <w:szCs w:val="22"/>
          <w:rtl w:val="0"/>
        </w:rPr>
        <w:t xml:space="preserve">APRÈS</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AVOIR </w:t>
      </w:r>
      <w:r w:rsidDel="00000000" w:rsidR="00000000" w:rsidRPr="00000000">
        <w:rPr>
          <w:rFonts w:ascii="Arial" w:cs="Arial" w:eastAsia="Arial" w:hAnsi="Arial"/>
          <w:b w:val="1"/>
          <w:sz w:val="22"/>
          <w:szCs w:val="22"/>
          <w:rtl w:val="0"/>
        </w:rPr>
        <w:t xml:space="preserve">ÉTÉ</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sz w:val="22"/>
          <w:szCs w:val="22"/>
          <w:rtl w:val="0"/>
        </w:rPr>
        <w:t xml:space="preserve">EXPOSÉ</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QUE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 w:line="259" w:lineRule="auto"/>
        <w:ind w:left="836" w:right="111" w:hanging="360"/>
        <w:jc w:val="both"/>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La Société </w:t>
      </w: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NOM SOCIÉTÉ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et la société </w:t>
      </w: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NOM SOCIÉTÉ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appartiennent au Groupe </w:t>
      </w: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NOM GROUPE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dont la Société mère est la Société </w:t>
      </w: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NOM SOCIÉTÉ</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836" w:right="112"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Toutes les </w:t>
      </w:r>
      <w:r w:rsidDel="00000000" w:rsidR="00000000" w:rsidRPr="00000000">
        <w:rPr>
          <w:rFonts w:ascii="Arial" w:cs="Arial" w:eastAsia="Arial" w:hAnsi="Arial"/>
          <w:sz w:val="22"/>
          <w:szCs w:val="22"/>
          <w:rtl w:val="0"/>
        </w:rPr>
        <w:t xml:space="preserve">sociétés</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parties aux présentes connaissent régulièrement des fluctuations de trésorerie, soit en excédent, soit en déficit, ce qui peut les conduire à placer leurs disponibilités ou à emprunter sur le marché bancaire.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836" w:right="110" w:hanging="360"/>
        <w:jc w:val="both"/>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C'est pourquoi, dans un souci de rationalisation et d'optimisation de la trésorerie du Groupe conforme à leurs intérêts communs, les Parties se sont rapprochées afin d'arrêter les termes et modalités de la présente convention de gestion de trésorerie, destinée à permettre de compenser les positions emprunteuses et excédentaires de chacune d'entre elles à des conditions plus avantageuses que celles proposées par le marché bancaire, notamment en ce qui concerne les garanties à donner.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836" w:right="111" w:hanging="360"/>
        <w:jc w:val="both"/>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La présente convention a été soumise à l'autorisation des organes sociaux compétents de chacune des Sociétés concernées, conformément aux lois applicables, préalablement à sa conclusion.</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836" w:right="111" w:firstLine="0"/>
        <w:jc w:val="both"/>
        <w:rPr>
          <w:rFonts w:ascii="Arial" w:cs="Arial" w:eastAsia="Arial" w:hAnsi="Arial"/>
          <w:i w:val="0"/>
          <w:smallCaps w:val="0"/>
          <w:strike w:val="0"/>
          <w:color w:val="000000"/>
          <w:sz w:val="22"/>
          <w:szCs w:val="22"/>
          <w:u w:val="none"/>
          <w:shd w:fill="auto" w:val="clear"/>
          <w:vertAlign w:val="baseline"/>
        </w:rPr>
        <w:sectPr>
          <w:headerReference r:id="rId9" w:type="default"/>
          <w:type w:val="nextPage"/>
          <w:pgSz w:h="16840" w:w="11920" w:orient="portrait"/>
          <w:pgMar w:bottom="1200" w:top="1360" w:left="1300" w:right="1300" w:header="0" w:footer="720"/>
        </w:sect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Les Parties déclarent et reconnaissent que la négociation commerciale ayant précédé la conclusion de la présente convention ont été conduites de bonne foi et avoir bénéficié, pendant la phase précontractuelle de négociations, de toutes les informations nécessaires et utiles pour leur permettre de s'engager en toute connaissance de cause et s'être mutuellement communiqué toutes informations susceptibles de déterminer leur consentement et qu'elles pouvaient légitimement ignorer.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6" w:right="0" w:hanging="836"/>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IL A ÉTÉ CONVENU ET ARRÊTÉ CE QUI SUIT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6"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6"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6" w:right="0" w:hanging="836"/>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TITRE I : OBJET DE LA CONVENTION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6" w:right="0" w:hanging="836"/>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6" w:right="0" w:hanging="836"/>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6" w:right="0" w:hanging="836"/>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ARTICLE 1 – OBJET DE LA CONVENTION</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Les Parties s'engagent à mettre à la disposition de chacune des Sociétés signataires de la présente convention, leurs excédents de trésorerie sous forme d'avances en compte courant rémunérées en fonction des besoins et des disponibilités de chacune d'entre elles.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La présente convention est conclue dans le cadre de la gestion des excédents de trésorerie de la Société </w:t>
      </w: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NOM SOCIÉTÉ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et de la société </w:t>
      </w: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NOM SOCIÉTÉ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(ensemble, le Groupe </w:t>
      </w: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NOM GROUPE</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En conséquence, le montant des sommes mises à disposition au titre de la présente convention, ne saurait dépasser le montant </w:t>
      </w:r>
      <w:r w:rsidDel="00000000" w:rsidR="00000000" w:rsidRPr="00000000">
        <w:rPr>
          <w:rFonts w:ascii="Arial" w:cs="Arial" w:eastAsia="Arial" w:hAnsi="Arial"/>
          <w:sz w:val="22"/>
          <w:szCs w:val="22"/>
          <w:rtl w:val="0"/>
        </w:rPr>
        <w:t xml:space="preserve">desdits</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excédents.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TITRE II : MODALITÉS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ARTICLE 2 – MISE </w:t>
      </w:r>
      <w:r w:rsidDel="00000000" w:rsidR="00000000" w:rsidRPr="00000000">
        <w:rPr>
          <w:rFonts w:ascii="Arial" w:cs="Arial" w:eastAsia="Arial" w:hAnsi="Arial"/>
          <w:b w:val="1"/>
          <w:sz w:val="22"/>
          <w:szCs w:val="22"/>
          <w:u w:val="single"/>
          <w:rtl w:val="0"/>
        </w:rPr>
        <w:t xml:space="preserve">À DISPOSITION</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 DES FONDS ET REMBOURSEMENT DES AVANCES</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Les Parties pourront utiliser les sommes mises à leur disposition sur des comptes courants bancaires.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Les sommes mises à disposition entre les Parties seront comptabilisées en compte courant. Le compte courant enregistrera sous bonne valeur, les virements effectués entre les Parties.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A défaut d'accord particulier entre les Sociétés du Groupe </w:t>
      </w: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NOM GROUPE</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les sommes prêtées feront l'objet d'un remboursement immédiat sur simple appel de fonds de la Société prêteuse notifié avec un préavis d’un mois au moins. En cas de difficulté éprouvée par l’une des Parties, le remboursement d’une ou plusieurs avances pourra s’opérer selon un échéancier convenu d’un commun accord.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Les sociétés s’assureront que le système d’optimisation de trésorerie n’aura pas pour effet de financer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de manière permanente une Filiale structurellement débitrice en trésorerie.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ARTICLE 3 – MONTANT MAXIMUM DES AVANCES</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 montant maximum des avances susceptibles d'être mises à la disposition des Sociétés signataires de la présente convention par l'une ou l'autre d'entre elles en une ou plusieurs fois, est arrêté à 200 000 euros.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Ce montant pourra être révisé, à la hausse ou à la baisse, d'un commun accord entre les parties, à tout moment, pendant la durée de la présente convention.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ARTICLE 4 – REMUNERATION DES SOMMES PRÊTÉES ET CALCUL DES INTERETS</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sectPr>
          <w:headerReference r:id="rId10" w:type="default"/>
          <w:type w:val="nextPage"/>
          <w:pgSz w:h="16840" w:w="11920" w:orient="portrait"/>
          <w:pgMar w:bottom="1200" w:top="1360" w:left="1300" w:right="1300" w:header="0" w:footer="720"/>
        </w:sect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Les avances consenties ou reçues dans le cadre de la présente convention porteront intérêt dans les conditions ci-après :</w:t>
      </w:r>
    </w:p>
    <w:p w:rsidR="00000000" w:rsidDel="00000000" w:rsidP="00000000" w:rsidRDefault="00000000" w:rsidRPr="00000000" w14:paraId="0000004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836"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Les intérêts seront décomptés chaque trimestre à compter du </w:t>
      </w:r>
      <w:r w:rsidDel="00000000" w:rsidR="00000000" w:rsidRPr="00000000">
        <w:rPr>
          <w:rFonts w:ascii="Arial" w:cs="Arial" w:eastAsia="Arial" w:hAnsi="Arial"/>
          <w:color w:val="ff0000"/>
          <w:sz w:val="22"/>
          <w:szCs w:val="22"/>
          <w:rtl w:val="0"/>
        </w:rPr>
        <w:t xml:space="preserve">…</w:t>
      </w: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sur le montant des avances consenties ou reçues par l’une des sociétés et seront payés le mois suivant.</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836"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Les avances consenties par l’une des sociétés seront rémunérées chaque trimestre à compter du </w:t>
      </w:r>
      <w:r w:rsidDel="00000000" w:rsidR="00000000" w:rsidRPr="00000000">
        <w:rPr>
          <w:rFonts w:ascii="Arial" w:cs="Arial" w:eastAsia="Arial" w:hAnsi="Arial"/>
          <w:color w:val="ff0000"/>
          <w:sz w:val="22"/>
          <w:szCs w:val="22"/>
          <w:rtl w:val="0"/>
        </w:rPr>
        <w:t xml:space="preserve">…</w:t>
      </w: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auprès de la société </w:t>
      </w:r>
      <w:r w:rsidDel="00000000" w:rsidR="00000000" w:rsidRPr="00000000">
        <w:rPr>
          <w:rFonts w:ascii="Arial" w:cs="Arial" w:eastAsia="Arial" w:hAnsi="Arial"/>
          <w:sz w:val="22"/>
          <w:szCs w:val="22"/>
          <w:rtl w:val="0"/>
        </w:rPr>
        <w:t xml:space="preserve">créditée</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par un taux d’intérêt trimestriel calculé sur la base du taux le plus récent de l’EURIBOR 3 mois + 1%.</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ARTICLE 5 - IMPÔTS ET TAXES</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Il est expressément prévu que tous les intérêts versés entre les sociétés s’entendent nets, le cas échéant, des frais et taxes dont cette dernière supporte l’entière charge.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Chaque partie délivrera à l’autre partie les attestations nécessaires à l’élimination des situations de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double imposition susceptibles de survenir.</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ARTICLE 6 – DUREE DE LA CONVENTION</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La présente convention est consentie et acceptée pour une durée de 1 an à compter du </w:t>
      </w: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pour expirer le </w:t>
      </w: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w:t>
      </w:r>
      <w:r w:rsidDel="00000000" w:rsidR="00000000" w:rsidRPr="00000000">
        <w:rPr>
          <w:rFonts w:ascii="Arial" w:cs="Arial" w:eastAsia="Arial" w:hAnsi="Arial"/>
          <w:color w:val="ff0000"/>
          <w:sz w:val="22"/>
          <w:szCs w:val="22"/>
          <w:rtl w:val="0"/>
        </w:rPr>
        <w:t xml:space="preserve">.</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Les Parties n'entendent pas conditionner leur engagement à un délai de réflexion.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La convention sera reconduite tacitement, pour de nouvelles périodes d’un an, à défaut de dénonciation par l'une ou l'autre des Parties, signifiée par lettre recommandée avec demande d'avis de réception, un mois au moins avant l'arrivée du terme.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La non-reconduction pourra n'être que partielle et ne concerner que certaines des Sociétés parties à la présente convention qui se poursuivra alors avec les seules parties ne l'ayant pas dénoncée.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L'expiration de la présente convention, pour quelque cause que ce soit, entraînera l'exigibilité et le paiement immédiat de toutes les sommes mises à la disposition de la Société sortante.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TITRE III : OBLIGATIONS DES PARTIES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ARTICLE 7 – OBLIGATIONS PARTICULIÈRES DES SOCIÉTÉS SIGNATAIRES</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Concomitamment à la mise en place de la présente convention, les Parties se sont conformées à la</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législation applicable aux sociétés commerciales, et particulièrement aux dispositions de l’article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 227-10 du Code de commerce s’agissant d’une convention conclue entre la Filiale et un de ses associés disposant de plus de 10 % de son capital.</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Pendant toute la durée de la présente convention, les Sociétés signataires s'engagent à se tenir mutuellement informées dans les meilleurs délais, de toute modification importante intervenue au sein de leur actionnariat ou de la répartition de leur capital social.</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ARTICLE 8 - INDÉPENDANCE RÉCIPROQUE</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sectPr>
          <w:headerReference r:id="rId11" w:type="default"/>
          <w:type w:val="nextPage"/>
          <w:pgSz w:h="16840" w:w="11920" w:orient="portrait"/>
          <w:pgMar w:bottom="1200" w:top="1360" w:left="1300" w:right="1300" w:header="0" w:footer="720"/>
        </w:sect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Pendant toute la durée de la présente convention, les sociétés s’engagent impérativement à maintenir,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au sein de chacune d’elles, une comptabilité tenue conformément aux normes en vigueur et reflétan</w:t>
      </w:r>
      <w:r w:rsidDel="00000000" w:rsidR="00000000" w:rsidRPr="00000000">
        <w:rPr>
          <w:rFonts w:ascii="Arial" w:cs="Arial" w:eastAsia="Arial" w:hAnsi="Arial"/>
          <w:sz w:val="22"/>
          <w:szCs w:val="22"/>
          <w:rtl w:val="0"/>
        </w:rPr>
        <w:t xml:space="preserve">t </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de façon indépendante les activités propres à chacune d’elles. Il est à ce sujet, expressément convenu que cette façon d’opérer n’entraîne en aucun cas unité de compte entre les Parties.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Ainsi, la présente convention étant conclue entre des personnes juridiques distinctes, bien qu'appartenant à un même groupe capitalistique et économique, la collaboration en résultant ne saurait induire une confusion entre elles, chacune des Sociétés du Groupe </w:t>
      </w: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NOM GROUPE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assurant seule les conséquences de son activité et de ses opérations de trésorerie, sans pouvoir prétendre, notamment, faire supporter ses propres pertes aux autres Sociétés du Groupe </w:t>
      </w: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NOM GROUPE</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Il est expressément convenu que la présente Convention ne pouvant altérer l’indépendance des Parties contractantes quant à la gestion et à la poursuite de leur objet social, celles-ci restent totalement indépendantes entre elles et continueront d’assumer de façon autonome leur direction, gestion, responsabilité et obligations.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Aucune des dispositions de la présente convention ne pourra s’analyser comme conférant une garantie, caution ou aval quelconque donné par l’une des Parties à une autre.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Chacune des sociétés déclare, par ailleurs, faire son affaire personnelle de la mise en place, le cas échéant, de contreparties équilibrées dans le cadre de la politique commune de gestion de la trésorerie disponible, en respectant l'équilibre entre les engagements respectifs des Sociétés concernées.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TITRE IV : DISPOSITIONS GENERALES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ARTICLE 9 – </w:t>
      </w:r>
      <w:r w:rsidDel="00000000" w:rsidR="00000000" w:rsidRPr="00000000">
        <w:rPr>
          <w:rFonts w:ascii="Arial" w:cs="Arial" w:eastAsia="Arial" w:hAnsi="Arial"/>
          <w:b w:val="1"/>
          <w:sz w:val="22"/>
          <w:szCs w:val="22"/>
          <w:u w:val="single"/>
          <w:rtl w:val="0"/>
        </w:rPr>
        <w:t xml:space="preserve">IMPRÉVISION</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Chacune des Parties déclare, compte tenu de la période de négociations ayant précédé la conclusion de la présente convention qui lui a permis de s'engager en toute connaissance de cause, renoncer expressément à se prévaloir des dispositions de l'article 1195 du Code civil et du régime de l'imprévision qui y est prévu, s'engageant à assumer ses obligations même si l'équilibre contractuel se trouve bouleversé par des circonstances qui étaient imprévisibles lors de la conclusion du contrat, quand bien même leur exécution s'avérerait excessivement onéreuse et à en supporter toutes les conséquences économiques et financières.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Cependant, si le changement de circonstances imprévisibles lors de la conclusion du contrat était définitif ou perdurait au-delà 6 mois, les présentes seraient purement et simplement résolues selon les modalités définies à l'article «Résolution pour Imprévision».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ARTICLE 10 – FORCE MAJEURE</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Les Parties ne pourront être tenues pour responsables si la non-exécution ou le retard dans l'exécution de l'une quelconque de leurs obligations, telles que décrites dans les présentes découle d'un cas de force majeure, au sens de l'article 1218 du Code civil.</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ARTICLE 11 – EXÉCUTION DE TOUT OU PARTIE DE LA CONVENTION</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sectPr>
          <w:headerReference r:id="rId12" w:type="default"/>
          <w:type w:val="nextPage"/>
          <w:pgSz w:h="16840" w:w="11920" w:orient="portrait"/>
          <w:pgMar w:bottom="1200" w:top="1360" w:left="1300" w:right="1300" w:header="0" w:footer="720"/>
        </w:sect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Il est rappelé qu'en application de l'article 1219 du Code civil, chaque Partie pourra refuser d'exécuter son obligation, alors même que celle-ci est exigible, si l'autre Partie n'exécute pas la sienne et si cette inexécution est suffisamment grave, c'est-à-dire susceptible de remettre en cause la poursuite du contrat ou de bouleverser fondamentalement son équilibre économique. La suspension d'exécution prendra effet immédiatement, à réception par la Partie défaillante de la notification de manquement qui lui aura été adressée à cet effet par la Partie victime de la défaillance indiquant l'intention de faire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application de l'exception d'inexécution tant que la Partie défaillante n'aura pas remédié au manquement constaté, signifiée par lettre recommandée avec demande d'avis de réception ou sur tout autre support durable écrit permettant de ménager une preuve de l'envoi.</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Cette exception d'inexécution pourra également être utilisée à titre préventif, conformément aux dispositions de l'article 1220 du Code civil, s'il est manifeste que l'une des Parties n'exécutera pas à l'échéance les obligations qui lui incombent et que les conséquences de cette inexécution sont suffisamment graves pour la Partie victime de la défaillance. Cette faculté est utilisée aux risques et périls de la Partie qui en prend l'initiative.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La suspension d'exécution prendra effet immédiatement, à réception par la Partie présumée défaillante de la notification de l'intention de faire application de l'exception d'inexécution préventive jusqu'à ce que la Partie présumée défaillante exécute l'obligation pour laquelle un manquement à venir est manifeste, signifiée par lettre recommandée avec demande d'avis de réception ou sur tout autre support durable écrit permettant de ménager une preuve de l'envoi.</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ARTICLE 12 – RÉSOLUTION DU CONTRAT</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560" w:right="0" w:hanging="445"/>
        <w:jc w:val="left"/>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Résolution pour changement de contrôle</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La présente convention sera résolue de plein droit dans le cas où l’une ou l’autre des Parties ne répondrait plus aux conditions énoncées dans l’article L 511-7, I-3 du Code monétaire et financier, c’est-à-dire si les Parties n’ont plus de liens de capital entre elles, directs ou indirects, qui confèrent à l’une d’entre elles, un pouvoir de contrôle effectif sur les autres.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560" w:right="0" w:hanging="445"/>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Résolution pour inexécution d’une obligation suffisamment grave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La Partie victime de la défaillance pourra, nonobstant la clause Résolution pour manquement d'une partie à ses obligations figurant ci-après, en cas d'inexécution suffisamment grave de l'une quelconque des obligations incombant à l'autre Partie, notifier par lettre recommandée avec demande d’avis de réception à la Partie Défaillante, la résolution fautive des présentes, 30 jours après la réception d'une mise en demeure de s'exécuter restée infructueuse, et ce en application des dispositions de l'article 1224 du Code civil.</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560" w:right="0" w:hanging="445"/>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Résolution pour force majeure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La résolution de plein droit pour force majeure, ne pourra, nonobstant la clause Résolution pour manquement d'une partie à ses obligations figurant ci-après, avoir lieu que 30 jours après la réception d'une mise en demeure notifiée par lettre recommandée avec demande d'avis de réception ou tout acte extrajudiciaire.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560" w:right="0" w:hanging="445"/>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Résolution pour imprévision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sectPr>
          <w:headerReference r:id="rId13" w:type="default"/>
          <w:type w:val="nextPage"/>
          <w:pgSz w:h="16840" w:w="11920" w:orient="portrait"/>
          <w:pgMar w:bottom="1200" w:top="1360" w:left="1300" w:right="1300" w:header="0" w:footer="720"/>
        </w:sect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La résolution pour l'impossibilité de l'exécution d'une obligation devenue excessivement onéreuse ne pourra, nonobstant la clause Résolution pour manquement d'une partie à ses obligations figurant ci- après, intervenir que 30 jours après la réception d'une mise en demeure déclarant l’intention d’appliquer la présente clause notifiée par lettre recommandée avec demande d'avis de réception ou tout acte extrajudiciaire.</w:t>
      </w:r>
    </w:p>
    <w:p w:rsidR="00000000" w:rsidDel="00000000" w:rsidP="00000000" w:rsidRDefault="00000000" w:rsidRPr="00000000" w14:paraId="000000A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560" w:right="0" w:hanging="445"/>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Résolution pour manquement d’une partie à ses obligations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En cas de non-respect par l’un ou l’autre des parties de l’obligation suivante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6"/>
        </w:tabs>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Le non paiement à l’échéance des intérêts visés à l’article 4</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Visée au présent contrat, celui-ci pourra être résolu au gré de la partie lésée.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Il est expressément entendu que cette résolution pour manquement d'une partie à ses obligations aura lieu de plein droit 30 jours après la réception d'une mise en demeure de s'exécuter, restée, en tout ou partie, sans effet. La mise en demeure pourra être notifiée par lettre recommandée avec demande d'avis de réception ou tout acte extrajudiciaire.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Cette mise en demeure devra mentionner l'intention d'appliquer la présente clause.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560" w:right="0" w:hanging="445"/>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Dispositions communes aux cas de résolution</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Les prestations échangées entre les Parties depuis la conclusion du contrat et jusqu'à sa résiliation ayant trouvé leur utilité au fur et à mesure de l'exécution réciproque de celui-ci, elles ne sonneront pas lieu à restitution pour la période antérieure à la dernière prestation n'ayant pas reçu sa contrepartie.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En tout état de cause, la Partie lésée pourra demander en justice l'octroi de dommages et intérêts.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La résolution ou résiliation anticipée ne s'appliquera, le cas échéant, qu'à la Société concernée, du chef de laquelle l'un ou l'autre cas de résolution ou résiliation susvisé sera intervenu.</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La convention se poursuivra avec les autres Sociétés du Groupe </w:t>
      </w: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NOM GROUPE</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Elle entraînera l'exigibilité et le paiement immédiat de toutes les sommes mises à la disposition de la Société sortante ou prêtées par celle-ci.</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ARTICLE 13 - CONSÉQUENCES DE LA CESSATION DU CONTRAT</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De convention expresse entre les Parties, les éventuels accords liés au présent contrat sont divisibles et certains d'entre eux peuvent prendre fin, sans pour autant entraîner la résolution des autres accords.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La résolution ou l'annulation de l'un de ses accords donnera lieu à l'établissement d'un avenant signé des deux Parties.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sectPr>
          <w:headerReference r:id="rId14" w:type="default"/>
          <w:type w:val="nextPage"/>
          <w:pgSz w:h="16840" w:w="11920" w:orient="portrait"/>
          <w:pgMar w:bottom="1200" w:top="1360" w:left="1300" w:right="1300" w:header="0" w:footer="720"/>
        </w:sect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Compte tenu de cette divisibilité, l'anéantissement du présent contrat, pour quelque cause que ce soit et notamment en cas de résolution de celui-ci à la suite de manquements contractuels, n'entraînera pas de plein droit la caducité des autres accords conclus entre les Parties sous réserve de la non divulgation des informations confidentielles qui ont pu être échangées à l'occasion de la présente convention et des négociations ayant précédé sa conclusion, et des clauses de règlement des litiges qui y sont stipulées, le cas échéant.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ARTICLE 14 – INCESSIBILITÉ DU CONTRAT</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 présent contrat étant conclu intuitu personæ, les parties s'interdisent de céder ou de transférer, de quelque manière que ce soit les droits et obligations en résultant, sans l'accord exprès, préalable et écrit de l'autre partie.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 Cédant s'engage au préalable à communiquer au Cédé toutes informations concernant le successeur pressenti ainsi qu'au respect, par ce dernier, de l'ensemble des droits et obligations des présentes.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 Cédé dispose d'un délai maximum de deux mois, à compter de la réception de la notification adressée par lettre recommandée avec demande d'avis de réception, pour faire connaître sa position quant à la cession ou non des présentes au successeur pressenti, dans les conditions et selon les formes ci-dessus précisées.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A défaut de réponse dans ce délai selon les modalités précitées, l'agrément du Cédé sera réputé acquis.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En cas de réponse négative notifiée par lettre recommandée avec demande d'avis de réception, toute cession des présentes sera interdite.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Si en dépit du refus du Cédé, la cession était réalisée, le Cédé serait en droit de résoudre le présent contrat, aux torts du Cédant, dans les conditions précisées à l'article 12, sans préjudice des éventuels dommages et intérêts que le Cédé serait également en droit de réclamer, de ce fait, au Cédant.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Conformément aux dispositions de l'article 1216 du Code civil, toute cession du présent contrat devra être constatée par écrit, à peine de nullité.</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En cas de cession du présent contrat, conformément aux conditions ci-dessus définies, le Cédant sera tenu solidairement avec le Cessionnaire, à l'égard du Cédé, de l'exécution des obligations qui en découlent. Les sûretés consenties par le Cédant pour garantir cette exécution subsistent, ce à quoi le Cédant consent expressément.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ARTICLE 15 – CONFIDENTIALITE ET SECURITE DES DONNEES PERSONNELLES</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Les Parties s'engagent à titre de clause de confidentialité, pendant toute la durée du présent contrat et sans limitation de durée après l’expiration de celui-ci, pour quelque cause que soit, à la confidentialité la plus totale, en s'interdisant de divulguer, directement ou indirectement, quelques informations, connaissances ou savoir-faire que ce soient concernant leur co-contractant et leurs modalités de fonctionnement, auxquels ils auraient pu avoir accès dans le cadre de l'exécution du présent contrat, à moins que lesdites informations, connaissances ou savoir-faire ne soient tombés dans le domaine public ou que leur divulgation soit rendue nécessaire en vertu d'un règlement particulier ou d'une injonction administrative ou judiciaire.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Conformément à l'article 24 du RGPD (Règlement sur la protection des données personnelles) entré en vigueur le 25 mai 2018, les responsables de traitement s'engagent à mettre en place des mesures techniques et organisationnelles appropriées pour garantir la sécurité des données personnelles et les droits des personnes dont les données ont été recueillies (le droit d'information, le droit d'accès, le droit de rectification et le droit à l'effacement, le droit à la limitation du traitement, le droit à la portabilité…).</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sectPr>
          <w:headerReference r:id="rId15" w:type="default"/>
          <w:type w:val="nextPage"/>
          <w:pgSz w:h="16840" w:w="11920" w:orient="portrait"/>
          <w:pgMar w:bottom="1200" w:top="1360" w:left="1300" w:right="1300" w:header="0" w:footer="720"/>
        </w:sect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De même, les responsables de traitement doivent définir une durée de conservation des documents contenant des données personnelles, établie selon leur finalité.</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 responsable de traitement ou son sous-traitant en charge de l'archivage devra présenter des garanties suffisantes en matière de sécurité et de confidentialité des données qui lui seront confiées.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ARTICLE 16 – NULLITÉ ET INDÉPENDANCE DES CLAUSES</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L'annulation éventuelle d'une ou plusieurs clauses de la présente convention ne saurait porter atteinte à ses autres stipulations qui continueront de produire leur plein et entier effet pour autant que l'économie générale de la convention puisse être sauvegardée.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Au cas où l'exécution de l'une ou plusieurs des clauses de la présente convention serait rendue impossible du fait de son annulation, les Parties tenteront de se rapprocher afin d'établir une nouvelle clause dont l'esprit et la lettre seront aussi proches que possible de l'ancienne clause, les autres stipulations de la convention demeurant en vigueur.</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A défaut ou si l'économie générale de la convention s'avérait fondamentalement bouleversée, les Parties pourraient, d'un commun accord formalisé par écrit, constater l'annulation de la présente convention dans son intégralité.</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ARTICLE 17 –LITIGES</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Tous les litiges auxquels le présent contrat et les accords qui en découlent pourraient donner lieu, concernant tant leur validité, leur interprétation, leur exécution, leur résolution, leurs conséquences et leurs suites seront soumis aux tribunaux compétents dans les conditions de droit commun.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ARTICLE 18 – LANGUES - ELECTION DE DOMICILE – ATTRIBUTION DE JURIDICTION</w: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De convention expresse entre les Parties, le présent contrat est régi et soumis au droit français. Il est rédigé en langue française. Dans le cas où il serait traduit en une ou plusieurs langues, seul le texte français ferait foi en cas de litige.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Pour l’exécution des présentes et de leurs suites, les Parties font élection de domicile en leurs sièges sociaux respectifs et indiqués en tête des présentes (ou, le cas échéant, l’adresse indiquée en entête des présentes pour les personnes physiques).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sectPr>
          <w:headerReference r:id="rId16" w:type="default"/>
          <w:type w:val="nextPage"/>
          <w:pgSz w:h="16840" w:w="11920" w:orient="portrait"/>
          <w:pgMar w:bottom="1200" w:top="1580" w:left="1300" w:right="1300" w:header="0" w:footer="720"/>
        </w:sect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Tout différend relatif à l’interprétation, à l’exécution, à la dénonciation ou à la résiliation de la présente convention sera soumis au Tribunal de Commerce de </w:t>
      </w:r>
      <w:r w:rsidDel="00000000" w:rsidR="00000000" w:rsidRPr="00000000">
        <w:rPr>
          <w:rFonts w:ascii="Arial" w:cs="Arial" w:eastAsia="Arial" w:hAnsi="Arial"/>
          <w:color w:val="ff0000"/>
          <w:sz w:val="22"/>
          <w:szCs w:val="22"/>
          <w:rtl w:val="0"/>
        </w:rPr>
        <w:t xml:space="preserve">Ville</w:t>
      </w: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auquel compétence est attribuée par les Parties.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16" w:right="6583"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Fait à </w:t>
      </w:r>
      <w:r w:rsidDel="00000000" w:rsidR="00000000" w:rsidRPr="00000000">
        <w:rPr>
          <w:rFonts w:ascii="Arial" w:cs="Arial" w:eastAsia="Arial" w:hAnsi="Arial"/>
          <w:color w:val="ff0000"/>
          <w:sz w:val="22"/>
          <w:szCs w:val="22"/>
          <w:rtl w:val="0"/>
        </w:rPr>
        <w:t xml:space="preserve">Ville</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6583"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 </w:t>
      </w:r>
      <w:r w:rsidDel="00000000" w:rsidR="00000000" w:rsidRPr="00000000">
        <w:rPr>
          <w:rFonts w:ascii="Arial" w:cs="Arial" w:eastAsia="Arial" w:hAnsi="Arial"/>
          <w:color w:val="ff0000"/>
          <w:sz w:val="22"/>
          <w:szCs w:val="22"/>
          <w:rtl w:val="0"/>
        </w:rPr>
        <w:t xml:space="preserve">…</w:t>
      </w: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En </w:t>
      </w: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X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exemplaires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sectPr>
          <w:headerReference r:id="rId17" w:type="default"/>
          <w:type w:val="nextPage"/>
          <w:pgSz w:h="16840" w:w="11920" w:orient="portrait"/>
          <w:pgMar w:bottom="1200" w:top="1580" w:left="1300" w:right="1300" w:header="0" w:footer="720"/>
        </w:sect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258" w:right="0" w:firstLine="0"/>
        <w:jc w:val="left"/>
        <w:rPr>
          <w:rFonts w:ascii="Arial" w:cs="Arial" w:eastAsia="Arial" w:hAnsi="Arial"/>
          <w:b w:val="1"/>
          <w:i w:val="0"/>
          <w:smallCaps w:val="0"/>
          <w:strike w:val="0"/>
          <w:color w:val="ff0000"/>
          <w:sz w:val="22"/>
          <w:szCs w:val="22"/>
          <w:u w:val="none"/>
          <w:shd w:fill="auto" w:val="clear"/>
          <w:vertAlign w:val="baseline"/>
        </w:rPr>
      </w:pPr>
      <w:r w:rsidDel="00000000" w:rsidR="00000000" w:rsidRPr="00000000">
        <w:rPr>
          <w:rFonts w:ascii="Arial" w:cs="Arial" w:eastAsia="Arial" w:hAnsi="Arial"/>
          <w:b w:val="1"/>
          <w:i w:val="0"/>
          <w:smallCaps w:val="0"/>
          <w:strike w:val="0"/>
          <w:color w:val="ff0000"/>
          <w:sz w:val="22"/>
          <w:szCs w:val="22"/>
          <w:u w:val="none"/>
          <w:shd w:fill="auto" w:val="clear"/>
          <w:vertAlign w:val="baseline"/>
          <w:rtl w:val="0"/>
        </w:rPr>
        <w:t xml:space="preserve">NOM SOCIÉTÉ</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 w:right="0" w:firstLine="258"/>
        <w:jc w:val="left"/>
        <w:rPr>
          <w:rFonts w:ascii="Arial" w:cs="Arial" w:eastAsia="Arial" w:hAnsi="Arial"/>
          <w:b w:val="1"/>
          <w:i w:val="1"/>
          <w:smallCaps w:val="0"/>
          <w:strike w:val="0"/>
          <w:color w:val="ff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Représentée M./Mme </w:t>
      </w:r>
      <w:r w:rsidDel="00000000" w:rsidR="00000000" w:rsidRPr="00000000">
        <w:rPr>
          <w:rFonts w:ascii="Arial" w:cs="Arial" w:eastAsia="Arial" w:hAnsi="Arial"/>
          <w:b w:val="1"/>
          <w:i w:val="1"/>
          <w:smallCaps w:val="0"/>
          <w:strike w:val="0"/>
          <w:color w:val="ff0000"/>
          <w:sz w:val="22"/>
          <w:szCs w:val="22"/>
          <w:u w:val="none"/>
          <w:shd w:fill="auto" w:val="clear"/>
          <w:vertAlign w:val="baseline"/>
          <w:rtl w:val="0"/>
        </w:rPr>
        <w:t xml:space="preserve">Prénom / NOM,</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 w:right="-887.4999999999994" w:firstLine="0"/>
        <w:jc w:val="left"/>
        <w:rPr>
          <w:rFonts w:ascii="Arial" w:cs="Arial" w:eastAsia="Arial" w:hAnsi="Arial"/>
          <w:i w:val="1"/>
          <w:smallCaps w:val="0"/>
          <w:strike w:val="0"/>
          <w:color w:val="000000"/>
          <w:sz w:val="22"/>
          <w:szCs w:val="22"/>
          <w:u w:val="none"/>
          <w:shd w:fill="auto" w:val="clear"/>
          <w:vertAlign w:val="baseline"/>
        </w:rPr>
      </w:pPr>
      <w:r w:rsidDel="00000000" w:rsidR="00000000" w:rsidRPr="00000000">
        <w:rPr>
          <w:rFonts w:ascii="Arial" w:cs="Arial" w:eastAsia="Arial" w:hAnsi="Arial"/>
          <w:i w:val="1"/>
          <w:smallCaps w:val="0"/>
          <w:strike w:val="0"/>
          <w:color w:val="000000"/>
          <w:sz w:val="22"/>
          <w:szCs w:val="22"/>
          <w:u w:val="none"/>
          <w:shd w:fill="auto" w:val="clear"/>
          <w:vertAlign w:val="baseline"/>
          <w:rtl w:val="0"/>
        </w:rPr>
        <w:t xml:space="preserve">Président(e)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258"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258" w:right="0" w:firstLine="0"/>
        <w:jc w:val="left"/>
        <w:rPr>
          <w:rFonts w:ascii="Arial" w:cs="Arial" w:eastAsia="Arial" w:hAnsi="Arial"/>
          <w:b w:val="1"/>
          <w:i w:val="0"/>
          <w:smallCaps w:val="0"/>
          <w:strike w:val="0"/>
          <w:color w:val="ff0000"/>
          <w:sz w:val="22"/>
          <w:szCs w:val="22"/>
          <w:u w:val="none"/>
          <w:shd w:fill="auto" w:val="clear"/>
          <w:vertAlign w:val="baseline"/>
        </w:rPr>
      </w:pPr>
      <w:r w:rsidDel="00000000" w:rsidR="00000000" w:rsidRPr="00000000">
        <w:rPr>
          <w:rFonts w:ascii="Arial" w:cs="Arial" w:eastAsia="Arial" w:hAnsi="Arial"/>
          <w:b w:val="1"/>
          <w:i w:val="0"/>
          <w:smallCaps w:val="0"/>
          <w:strike w:val="0"/>
          <w:color w:val="ff0000"/>
          <w:sz w:val="22"/>
          <w:szCs w:val="22"/>
          <w:u w:val="none"/>
          <w:shd w:fill="auto" w:val="clear"/>
          <w:vertAlign w:val="baseline"/>
          <w:rtl w:val="0"/>
        </w:rPr>
        <w:t xml:space="preserve">NOM SOCIÉTÉ</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258" w:right="0" w:firstLine="0"/>
        <w:jc w:val="left"/>
        <w:rPr>
          <w:rFonts w:ascii="Arial" w:cs="Arial" w:eastAsia="Arial" w:hAnsi="Arial"/>
          <w:b w:val="1"/>
          <w:i w:val="0"/>
          <w:smallCaps w:val="0"/>
          <w:strike w:val="0"/>
          <w:color w:val="ff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Représentée par </w:t>
      </w:r>
      <w:r w:rsidDel="00000000" w:rsidR="00000000" w:rsidRPr="00000000">
        <w:rPr>
          <w:rFonts w:ascii="Arial" w:cs="Arial" w:eastAsia="Arial" w:hAnsi="Arial"/>
          <w:b w:val="1"/>
          <w:i w:val="0"/>
          <w:smallCaps w:val="0"/>
          <w:strike w:val="0"/>
          <w:color w:val="ff0000"/>
          <w:sz w:val="22"/>
          <w:szCs w:val="22"/>
          <w:u w:val="none"/>
          <w:shd w:fill="auto" w:val="clear"/>
          <w:vertAlign w:val="baseline"/>
          <w:rtl w:val="0"/>
        </w:rPr>
        <w:t xml:space="preserve">NOM SOCIÉTÉ</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 w:right="0" w:firstLine="0"/>
        <w:jc w:val="left"/>
        <w:rPr>
          <w:rFonts w:ascii="Arial" w:cs="Arial" w:eastAsia="Arial" w:hAnsi="Arial"/>
          <w:i w:val="1"/>
          <w:smallCaps w:val="0"/>
          <w:strike w:val="0"/>
          <w:color w:val="000000"/>
          <w:sz w:val="22"/>
          <w:szCs w:val="22"/>
          <w:u w:val="none"/>
          <w:shd w:fill="auto" w:val="clear"/>
          <w:vertAlign w:val="baseline"/>
        </w:rPr>
        <w:sectPr>
          <w:type w:val="continuous"/>
          <w:pgSz w:h="16840" w:w="11920" w:orient="portrait"/>
          <w:pgMar w:bottom="1200" w:top="1360" w:left="1300" w:right="1300" w:header="0" w:footer="720"/>
          <w:cols w:equalWidth="0" w:num="2">
            <w:col w:space="235.5" w:w="4542.25"/>
            <w:col w:space="0" w:w="4542.25"/>
          </w:cols>
        </w:sectPr>
      </w:pPr>
      <w:r w:rsidDel="00000000" w:rsidR="00000000" w:rsidRPr="00000000">
        <w:rPr>
          <w:rFonts w:ascii="Arial" w:cs="Arial" w:eastAsia="Arial" w:hAnsi="Arial"/>
          <w:b w:val="1"/>
          <w:i w:val="1"/>
          <w:sz w:val="22"/>
          <w:szCs w:val="22"/>
          <w:rtl w:val="0"/>
        </w:rPr>
        <w:t xml:space="preserve">M./Mme </w:t>
      </w:r>
      <w:r w:rsidDel="00000000" w:rsidR="00000000" w:rsidRPr="00000000">
        <w:rPr>
          <w:rFonts w:ascii="Arial" w:cs="Arial" w:eastAsia="Arial" w:hAnsi="Arial"/>
          <w:b w:val="1"/>
          <w:i w:val="1"/>
          <w:color w:val="ff0000"/>
          <w:sz w:val="22"/>
          <w:szCs w:val="22"/>
          <w:rtl w:val="0"/>
        </w:rPr>
        <w:t xml:space="preserve">Prénom / NOM</w:t>
      </w:r>
      <w:r w:rsidDel="00000000" w:rsidR="00000000" w:rsidRPr="00000000">
        <w:rPr>
          <w:rFonts w:ascii="Arial" w:cs="Arial" w:eastAsia="Arial" w:hAnsi="Arial"/>
          <w:i w:val="1"/>
          <w:smallCaps w:val="0"/>
          <w:strike w:val="0"/>
          <w:color w:val="000000"/>
          <w:sz w:val="22"/>
          <w:szCs w:val="22"/>
          <w:u w:val="none"/>
          <w:shd w:fill="auto" w:val="clear"/>
          <w:vertAlign w:val="baseline"/>
          <w:rtl w:val="0"/>
        </w:rPr>
        <w:t xml:space="preserve">, Directeur général</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-9522</wp:posOffset>
                </wp:positionH>
                <wp:positionV relativeFrom="page">
                  <wp:posOffset>3352166</wp:posOffset>
                </wp:positionV>
                <wp:extent cx="7579360" cy="31750"/>
                <wp:effectExtent b="0" l="0" r="0" t="0"/>
                <wp:wrapNone/>
                <wp:docPr descr="Freeform 2" id="1073741848" name=""/>
                <a:graphic>
                  <a:graphicData uri="http://schemas.microsoft.com/office/word/2010/wordprocessingShape">
                    <wps:wsp>
                      <wps:cNvSpPr/>
                      <wps:cNvPr id="2" name="Shape 2"/>
                      <wps:spPr>
                        <a:xfrm>
                          <a:off x="1565845" y="3773650"/>
                          <a:ext cx="7560310" cy="1270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-9522</wp:posOffset>
                </wp:positionH>
                <wp:positionV relativeFrom="page">
                  <wp:posOffset>3352166</wp:posOffset>
                </wp:positionV>
                <wp:extent cx="7579360" cy="31750"/>
                <wp:effectExtent b="0" l="0" r="0" t="0"/>
                <wp:wrapNone/>
                <wp:docPr descr="Freeform 2" id="1073741848" name="image1.png"/>
                <a:graphic>
                  <a:graphicData uri="http://schemas.openxmlformats.org/drawingml/2006/picture">
                    <pic:pic>
                      <pic:nvPicPr>
                        <pic:cNvPr descr="Freeform 2" id="0" name="image1.png"/>
                        <pic:cNvPicPr preferRelativeResize="0"/>
                      </pic:nvPicPr>
                      <pic:blipFill>
                        <a:blip r:embed="rId18"/>
                        <a:srcRect/>
                        <a:stretch>
                          <a:fillRect/>
                        </a:stretch>
                      </pic:blipFill>
                      <pic:spPr>
                        <a:xfrm>
                          <a:off x="0" y="0"/>
                          <a:ext cx="7579360" cy="317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sectPr>
      <w:type w:val="continuous"/>
      <w:pgSz w:h="16840" w:w="11920" w:orient="portrait"/>
      <w:pgMar w:bottom="1200" w:top="1360" w:left="1300" w:right="130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36" w:hanging="360.0000000000001"/>
      </w:pPr>
      <w:rPr>
        <w:rFonts w:ascii="Calibri" w:cs="Calibri" w:eastAsia="Calibri" w:hAnsi="Calibri"/>
        <w:b w:val="0"/>
        <w:i w:val="0"/>
        <w:smallCaps w:val="0"/>
        <w:strike w:val="0"/>
        <w:shd w:fill="auto" w:val="clear"/>
        <w:vertAlign w:val="baseline"/>
      </w:rPr>
    </w:lvl>
    <w:lvl w:ilvl="1">
      <w:start w:val="1"/>
      <w:numFmt w:val="decimal"/>
      <w:lvlText w:val="%2."/>
      <w:lvlJc w:val="left"/>
      <w:pPr>
        <w:ind w:left="1080" w:hanging="360"/>
      </w:pPr>
      <w:rPr>
        <w:rFonts w:ascii="Calibri" w:cs="Calibri" w:eastAsia="Calibri" w:hAnsi="Calibri"/>
        <w:b w:val="0"/>
        <w:i w:val="0"/>
        <w:smallCaps w:val="0"/>
        <w:strike w:val="0"/>
        <w:shd w:fill="auto" w:val="clear"/>
        <w:vertAlign w:val="baseline"/>
      </w:rPr>
    </w:lvl>
    <w:lvl w:ilvl="2">
      <w:start w:val="1"/>
      <w:numFmt w:val="decimal"/>
      <w:lvlText w:val="%3."/>
      <w:lvlJc w:val="left"/>
      <w:pPr>
        <w:ind w:left="1800" w:hanging="360"/>
      </w:pPr>
      <w:rPr>
        <w:rFonts w:ascii="Calibri" w:cs="Calibri" w:eastAsia="Calibri" w:hAnsi="Calibri"/>
        <w:b w:val="0"/>
        <w:i w:val="0"/>
        <w:smallCaps w:val="0"/>
        <w:strike w:val="0"/>
        <w:shd w:fill="auto" w:val="clear"/>
        <w:vertAlign w:val="baseline"/>
      </w:rPr>
    </w:lvl>
    <w:lvl w:ilvl="3">
      <w:start w:val="1"/>
      <w:numFmt w:val="decimal"/>
      <w:lvlText w:val="%4."/>
      <w:lvlJc w:val="left"/>
      <w:pPr>
        <w:ind w:left="2520" w:hanging="360"/>
      </w:pPr>
      <w:rPr>
        <w:rFonts w:ascii="Calibri" w:cs="Calibri" w:eastAsia="Calibri" w:hAnsi="Calibri"/>
        <w:b w:val="0"/>
        <w:i w:val="0"/>
        <w:smallCaps w:val="0"/>
        <w:strike w:val="0"/>
        <w:shd w:fill="auto" w:val="clear"/>
        <w:vertAlign w:val="baseline"/>
      </w:rPr>
    </w:lvl>
    <w:lvl w:ilvl="4">
      <w:start w:val="1"/>
      <w:numFmt w:val="decimal"/>
      <w:lvlText w:val="%5."/>
      <w:lvlJc w:val="left"/>
      <w:pPr>
        <w:ind w:left="3240" w:hanging="360"/>
      </w:pPr>
      <w:rPr>
        <w:rFonts w:ascii="Calibri" w:cs="Calibri" w:eastAsia="Calibri" w:hAnsi="Calibri"/>
        <w:b w:val="0"/>
        <w:i w:val="0"/>
        <w:smallCaps w:val="0"/>
        <w:strike w:val="0"/>
        <w:shd w:fill="auto" w:val="clear"/>
        <w:vertAlign w:val="baseline"/>
      </w:rPr>
    </w:lvl>
    <w:lvl w:ilvl="5">
      <w:start w:val="1"/>
      <w:numFmt w:val="decimal"/>
      <w:lvlText w:val="%6."/>
      <w:lvlJc w:val="left"/>
      <w:pPr>
        <w:ind w:left="3960" w:hanging="360"/>
      </w:pPr>
      <w:rPr>
        <w:rFonts w:ascii="Calibri" w:cs="Calibri" w:eastAsia="Calibri" w:hAnsi="Calibri"/>
        <w:b w:val="0"/>
        <w:i w:val="0"/>
        <w:smallCaps w:val="0"/>
        <w:strike w:val="0"/>
        <w:shd w:fill="auto" w:val="clear"/>
        <w:vertAlign w:val="baseline"/>
      </w:rPr>
    </w:lvl>
    <w:lvl w:ilvl="6">
      <w:start w:val="1"/>
      <w:numFmt w:val="decimal"/>
      <w:lvlText w:val="%7."/>
      <w:lvlJc w:val="left"/>
      <w:pPr>
        <w:ind w:left="4680" w:hanging="360"/>
      </w:pPr>
      <w:rPr>
        <w:rFonts w:ascii="Calibri" w:cs="Calibri" w:eastAsia="Calibri" w:hAnsi="Calibri"/>
        <w:b w:val="0"/>
        <w:i w:val="0"/>
        <w:smallCaps w:val="0"/>
        <w:strike w:val="0"/>
        <w:shd w:fill="auto" w:val="clear"/>
        <w:vertAlign w:val="baseline"/>
      </w:rPr>
    </w:lvl>
    <w:lvl w:ilvl="7">
      <w:start w:val="1"/>
      <w:numFmt w:val="decimal"/>
      <w:lvlText w:val="%8."/>
      <w:lvlJc w:val="left"/>
      <w:pPr>
        <w:ind w:left="5400" w:hanging="360"/>
      </w:pPr>
      <w:rPr>
        <w:rFonts w:ascii="Calibri" w:cs="Calibri" w:eastAsia="Calibri" w:hAnsi="Calibri"/>
        <w:b w:val="0"/>
        <w:i w:val="0"/>
        <w:smallCaps w:val="0"/>
        <w:strike w:val="0"/>
        <w:shd w:fill="auto" w:val="clear"/>
        <w:vertAlign w:val="baseline"/>
      </w:rPr>
    </w:lvl>
    <w:lvl w:ilvl="8">
      <w:start w:val="1"/>
      <w:numFmt w:val="decimal"/>
      <w:lvlText w:val="%9."/>
      <w:lvlJc w:val="left"/>
      <w:pPr>
        <w:ind w:left="6120" w:hanging="360"/>
      </w:pPr>
      <w:rPr>
        <w:rFonts w:ascii="Calibri" w:cs="Calibri" w:eastAsia="Calibri" w:hAnsi="Calibri"/>
        <w:b w:val="0"/>
        <w:i w:val="0"/>
        <w:smallCaps w:val="0"/>
        <w:strike w:val="0"/>
        <w:shd w:fill="auto" w:val="clear"/>
        <w:vertAlign w:val="baseline"/>
      </w:rPr>
    </w:lvl>
  </w:abstractNum>
  <w:abstractNum w:abstractNumId="2">
    <w:lvl w:ilvl="0">
      <w:start w:val="1"/>
      <w:numFmt w:val="bullet"/>
      <w:lvlText w:val="-"/>
      <w:lvlJc w:val="left"/>
      <w:pPr>
        <w:ind w:left="836" w:hanging="360.0000000000001"/>
      </w:pPr>
      <w:rPr>
        <w:rFonts w:ascii="Calibri" w:cs="Calibri" w:eastAsia="Calibri" w:hAnsi="Calibri"/>
        <w:b w:val="0"/>
        <w:i w:val="0"/>
        <w:smallCaps w:val="0"/>
        <w:strike w:val="0"/>
        <w:shd w:fill="auto" w:val="clear"/>
        <w:vertAlign w:val="baseline"/>
      </w:rPr>
    </w:lvl>
    <w:lvl w:ilvl="1">
      <w:start w:val="1"/>
      <w:numFmt w:val="bullet"/>
      <w:lvlText w:val="•"/>
      <w:lvlJc w:val="left"/>
      <w:pPr>
        <w:ind w:left="1686" w:hanging="360"/>
      </w:pPr>
      <w:rPr>
        <w:rFonts w:ascii="Calibri" w:cs="Calibri" w:eastAsia="Calibri" w:hAnsi="Calibri"/>
        <w:b w:val="0"/>
        <w:i w:val="0"/>
        <w:smallCaps w:val="0"/>
        <w:strike w:val="0"/>
        <w:shd w:fill="auto" w:val="clear"/>
        <w:vertAlign w:val="baseline"/>
      </w:rPr>
    </w:lvl>
    <w:lvl w:ilvl="2">
      <w:start w:val="1"/>
      <w:numFmt w:val="bullet"/>
      <w:lvlText w:val="•"/>
      <w:lvlJc w:val="left"/>
      <w:pPr>
        <w:ind w:left="2533" w:hanging="360"/>
      </w:pPr>
      <w:rPr>
        <w:rFonts w:ascii="Calibri" w:cs="Calibri" w:eastAsia="Calibri" w:hAnsi="Calibri"/>
        <w:b w:val="0"/>
        <w:i w:val="0"/>
        <w:smallCaps w:val="0"/>
        <w:strike w:val="0"/>
        <w:shd w:fill="auto" w:val="clear"/>
        <w:vertAlign w:val="baseline"/>
      </w:rPr>
    </w:lvl>
    <w:lvl w:ilvl="3">
      <w:start w:val="1"/>
      <w:numFmt w:val="bullet"/>
      <w:lvlText w:val="•"/>
      <w:lvlJc w:val="left"/>
      <w:pPr>
        <w:ind w:left="3379" w:hanging="360"/>
      </w:pPr>
      <w:rPr>
        <w:rFonts w:ascii="Calibri" w:cs="Calibri" w:eastAsia="Calibri" w:hAnsi="Calibri"/>
        <w:b w:val="0"/>
        <w:i w:val="0"/>
        <w:smallCaps w:val="0"/>
        <w:strike w:val="0"/>
        <w:shd w:fill="auto" w:val="clear"/>
        <w:vertAlign w:val="baseline"/>
      </w:rPr>
    </w:lvl>
    <w:lvl w:ilvl="4">
      <w:start w:val="1"/>
      <w:numFmt w:val="bullet"/>
      <w:lvlText w:val="•"/>
      <w:lvlJc w:val="left"/>
      <w:pPr>
        <w:ind w:left="4226" w:hanging="360"/>
      </w:pPr>
      <w:rPr>
        <w:rFonts w:ascii="Calibri" w:cs="Calibri" w:eastAsia="Calibri" w:hAnsi="Calibri"/>
        <w:b w:val="0"/>
        <w:i w:val="0"/>
        <w:smallCaps w:val="0"/>
        <w:strike w:val="0"/>
        <w:shd w:fill="auto" w:val="clear"/>
        <w:vertAlign w:val="baseline"/>
      </w:rPr>
    </w:lvl>
    <w:lvl w:ilvl="5">
      <w:start w:val="1"/>
      <w:numFmt w:val="bullet"/>
      <w:lvlText w:val="•"/>
      <w:lvlJc w:val="left"/>
      <w:pPr>
        <w:ind w:left="5073" w:hanging="360"/>
      </w:pPr>
      <w:rPr>
        <w:rFonts w:ascii="Calibri" w:cs="Calibri" w:eastAsia="Calibri" w:hAnsi="Calibri"/>
        <w:b w:val="0"/>
        <w:i w:val="0"/>
        <w:smallCaps w:val="0"/>
        <w:strike w:val="0"/>
        <w:shd w:fill="auto" w:val="clear"/>
        <w:vertAlign w:val="baseline"/>
      </w:rPr>
    </w:lvl>
    <w:lvl w:ilvl="6">
      <w:start w:val="1"/>
      <w:numFmt w:val="bullet"/>
      <w:lvlText w:val="•"/>
      <w:lvlJc w:val="left"/>
      <w:pPr>
        <w:ind w:left="5919" w:hanging="360"/>
      </w:pPr>
      <w:rPr>
        <w:rFonts w:ascii="Calibri" w:cs="Calibri" w:eastAsia="Calibri" w:hAnsi="Calibri"/>
        <w:b w:val="0"/>
        <w:i w:val="0"/>
        <w:smallCaps w:val="0"/>
        <w:strike w:val="0"/>
        <w:shd w:fill="auto" w:val="clear"/>
        <w:vertAlign w:val="baseline"/>
      </w:rPr>
    </w:lvl>
    <w:lvl w:ilvl="7">
      <w:start w:val="1"/>
      <w:numFmt w:val="bullet"/>
      <w:lvlText w:val="•"/>
      <w:lvlJc w:val="left"/>
      <w:pPr>
        <w:ind w:left="6766" w:hanging="360"/>
      </w:pPr>
      <w:rPr>
        <w:rFonts w:ascii="Calibri" w:cs="Calibri" w:eastAsia="Calibri" w:hAnsi="Calibri"/>
        <w:b w:val="0"/>
        <w:i w:val="0"/>
        <w:smallCaps w:val="0"/>
        <w:strike w:val="0"/>
        <w:shd w:fill="auto" w:val="clear"/>
        <w:vertAlign w:val="baseline"/>
      </w:rPr>
    </w:lvl>
    <w:lvl w:ilvl="8">
      <w:start w:val="1"/>
      <w:numFmt w:val="bullet"/>
      <w:lvlText w:val="•"/>
      <w:lvlJc w:val="left"/>
      <w:pPr>
        <w:ind w:left="7613" w:hanging="360"/>
      </w:pPr>
      <w:rPr>
        <w:rFonts w:ascii="Calibri" w:cs="Calibri" w:eastAsia="Calibri" w:hAnsi="Calibri"/>
        <w:b w:val="0"/>
        <w:i w:val="0"/>
        <w:smallCaps w:val="0"/>
        <w:strike w:val="0"/>
        <w:shd w:fill="auto" w:val="clear"/>
        <w:vertAlign w:val="baseline"/>
      </w:rPr>
    </w:lvl>
  </w:abstractNum>
  <w:abstractNum w:abstractNumId="3">
    <w:lvl w:ilvl="0">
      <w:start w:val="1"/>
      <w:numFmt w:val="decimal"/>
      <w:lvlText w:val="%1."/>
      <w:lvlJc w:val="left"/>
      <w:pPr>
        <w:ind w:left="560" w:hanging="444"/>
      </w:pPr>
      <w:rPr>
        <w:b w:val="1"/>
        <w:smallCaps w:val="0"/>
        <w:strike w:val="0"/>
        <w:shd w:fill="auto" w:val="clear"/>
        <w:vertAlign w:val="baseline"/>
      </w:rPr>
    </w:lvl>
    <w:lvl w:ilvl="1">
      <w:start w:val="1"/>
      <w:numFmt w:val="decimal"/>
      <w:lvlText w:val="%2."/>
      <w:lvlJc w:val="left"/>
      <w:pPr>
        <w:ind w:left="560" w:hanging="445"/>
      </w:pPr>
      <w:rPr>
        <w:rFonts w:ascii="Calibri" w:cs="Calibri" w:eastAsia="Calibri" w:hAnsi="Calibri"/>
        <w:b w:val="1"/>
        <w:i w:val="0"/>
        <w:smallCaps w:val="0"/>
        <w:strike w:val="0"/>
        <w:shd w:fill="auto" w:val="clear"/>
        <w:vertAlign w:val="baseline"/>
      </w:rPr>
    </w:lvl>
    <w:lvl w:ilvl="2">
      <w:start w:val="1"/>
      <w:numFmt w:val="decimal"/>
      <w:lvlText w:val="%2.%3."/>
      <w:lvlJc w:val="left"/>
      <w:pPr>
        <w:ind w:left="675" w:hanging="445"/>
      </w:pPr>
      <w:rPr>
        <w:rFonts w:ascii="Calibri" w:cs="Calibri" w:eastAsia="Calibri" w:hAnsi="Calibri"/>
        <w:b w:val="1"/>
        <w:i w:val="0"/>
        <w:smallCaps w:val="0"/>
        <w:strike w:val="0"/>
        <w:shd w:fill="auto" w:val="clear"/>
        <w:vertAlign w:val="baseline"/>
      </w:rPr>
    </w:lvl>
    <w:lvl w:ilvl="3">
      <w:start w:val="1"/>
      <w:numFmt w:val="decimal"/>
      <w:lvlText w:val="%2.%3.%4."/>
      <w:lvlJc w:val="left"/>
      <w:pPr>
        <w:ind w:left="790" w:hanging="445"/>
      </w:pPr>
      <w:rPr>
        <w:rFonts w:ascii="Calibri" w:cs="Calibri" w:eastAsia="Calibri" w:hAnsi="Calibri"/>
        <w:b w:val="1"/>
        <w:i w:val="0"/>
        <w:smallCaps w:val="0"/>
        <w:strike w:val="0"/>
        <w:shd w:fill="auto" w:val="clear"/>
        <w:vertAlign w:val="baseline"/>
      </w:rPr>
    </w:lvl>
    <w:lvl w:ilvl="4">
      <w:start w:val="1"/>
      <w:numFmt w:val="decimal"/>
      <w:lvlText w:val="%2.%3.%4.%5."/>
      <w:lvlJc w:val="left"/>
      <w:pPr>
        <w:ind w:left="905" w:hanging="445"/>
      </w:pPr>
      <w:rPr>
        <w:rFonts w:ascii="Calibri" w:cs="Calibri" w:eastAsia="Calibri" w:hAnsi="Calibri"/>
        <w:b w:val="1"/>
        <w:i w:val="0"/>
        <w:smallCaps w:val="0"/>
        <w:strike w:val="0"/>
        <w:shd w:fill="auto" w:val="clear"/>
        <w:vertAlign w:val="baseline"/>
      </w:rPr>
    </w:lvl>
    <w:lvl w:ilvl="5">
      <w:start w:val="1"/>
      <w:numFmt w:val="decimal"/>
      <w:lvlText w:val="%2.%3.%4.%5.%6."/>
      <w:lvlJc w:val="left"/>
      <w:pPr>
        <w:ind w:left="1020" w:hanging="445"/>
      </w:pPr>
      <w:rPr>
        <w:rFonts w:ascii="Calibri" w:cs="Calibri" w:eastAsia="Calibri" w:hAnsi="Calibri"/>
        <w:b w:val="1"/>
        <w:i w:val="0"/>
        <w:smallCaps w:val="0"/>
        <w:strike w:val="0"/>
        <w:shd w:fill="auto" w:val="clear"/>
        <w:vertAlign w:val="baseline"/>
      </w:rPr>
    </w:lvl>
    <w:lvl w:ilvl="6">
      <w:start w:val="1"/>
      <w:numFmt w:val="decimal"/>
      <w:lvlText w:val="%2.%3.%4.%5.%6.%7."/>
      <w:lvlJc w:val="left"/>
      <w:pPr>
        <w:ind w:left="1135" w:hanging="445"/>
      </w:pPr>
      <w:rPr>
        <w:rFonts w:ascii="Calibri" w:cs="Calibri" w:eastAsia="Calibri" w:hAnsi="Calibri"/>
        <w:b w:val="1"/>
        <w:i w:val="0"/>
        <w:smallCaps w:val="0"/>
        <w:strike w:val="0"/>
        <w:shd w:fill="auto" w:val="clear"/>
        <w:vertAlign w:val="baseline"/>
      </w:rPr>
    </w:lvl>
    <w:lvl w:ilvl="7">
      <w:start w:val="1"/>
      <w:numFmt w:val="decimal"/>
      <w:lvlText w:val="%2.%3.%4.%5.%6.%7.%8."/>
      <w:lvlJc w:val="left"/>
      <w:pPr>
        <w:ind w:left="1250" w:hanging="445"/>
      </w:pPr>
      <w:rPr>
        <w:rFonts w:ascii="Calibri" w:cs="Calibri" w:eastAsia="Calibri" w:hAnsi="Calibri"/>
        <w:b w:val="1"/>
        <w:i w:val="0"/>
        <w:smallCaps w:val="0"/>
        <w:strike w:val="0"/>
        <w:shd w:fill="auto" w:val="clear"/>
        <w:vertAlign w:val="baseline"/>
      </w:rPr>
    </w:lvl>
    <w:lvl w:ilvl="8">
      <w:start w:val="1"/>
      <w:numFmt w:val="decimal"/>
      <w:lvlText w:val="%2.%3.%4.%5.%6.%7.%8.%9."/>
      <w:lvlJc w:val="left"/>
      <w:pPr>
        <w:ind w:left="1365" w:hanging="445"/>
      </w:pPr>
      <w:rPr>
        <w:rFonts w:ascii="Calibri" w:cs="Calibri" w:eastAsia="Calibri" w:hAnsi="Calibri"/>
        <w:b w:val="1"/>
        <w:i w:val="0"/>
        <w:smallCaps w:val="0"/>
        <w:strike w:val="0"/>
        <w:shd w:fill="auto" w:val="clear"/>
        <w:vertAlign w:val="baseline"/>
      </w:rPr>
    </w:lvl>
  </w:abstractNum>
  <w:abstractNum w:abstractNumId="4">
    <w:lvl w:ilvl="0">
      <w:start w:val="1"/>
      <w:numFmt w:val="decimal"/>
      <w:lvlText w:val="%1."/>
      <w:lvlJc w:val="left"/>
      <w:pPr>
        <w:ind w:left="560" w:hanging="444"/>
      </w:pPr>
      <w:rPr>
        <w:b w:val="1"/>
        <w:smallCaps w:val="0"/>
        <w:strike w:val="0"/>
        <w:shd w:fill="auto" w:val="clear"/>
        <w:vertAlign w:val="baseline"/>
      </w:rPr>
    </w:lvl>
    <w:lvl w:ilvl="1">
      <w:start w:val="1"/>
      <w:numFmt w:val="decimal"/>
      <w:lvlText w:val="%2."/>
      <w:lvlJc w:val="left"/>
      <w:pPr>
        <w:ind w:left="560" w:hanging="445"/>
      </w:pPr>
      <w:rPr>
        <w:rFonts w:ascii="Calibri" w:cs="Calibri" w:eastAsia="Calibri" w:hAnsi="Calibri"/>
        <w:b w:val="1"/>
        <w:i w:val="0"/>
        <w:smallCaps w:val="0"/>
        <w:strike w:val="0"/>
        <w:shd w:fill="auto" w:val="clear"/>
        <w:vertAlign w:val="baseline"/>
      </w:rPr>
    </w:lvl>
    <w:lvl w:ilvl="2">
      <w:start w:val="1"/>
      <w:numFmt w:val="decimal"/>
      <w:lvlText w:val="%2.%3."/>
      <w:lvlJc w:val="left"/>
      <w:pPr>
        <w:ind w:left="675" w:hanging="445"/>
      </w:pPr>
      <w:rPr>
        <w:rFonts w:ascii="Calibri" w:cs="Calibri" w:eastAsia="Calibri" w:hAnsi="Calibri"/>
        <w:b w:val="1"/>
        <w:i w:val="0"/>
        <w:smallCaps w:val="0"/>
        <w:strike w:val="0"/>
        <w:shd w:fill="auto" w:val="clear"/>
        <w:vertAlign w:val="baseline"/>
      </w:rPr>
    </w:lvl>
    <w:lvl w:ilvl="3">
      <w:start w:val="1"/>
      <w:numFmt w:val="decimal"/>
      <w:lvlText w:val="%2.%3.%4."/>
      <w:lvlJc w:val="left"/>
      <w:pPr>
        <w:ind w:left="790" w:hanging="445"/>
      </w:pPr>
      <w:rPr>
        <w:rFonts w:ascii="Calibri" w:cs="Calibri" w:eastAsia="Calibri" w:hAnsi="Calibri"/>
        <w:b w:val="1"/>
        <w:i w:val="0"/>
        <w:smallCaps w:val="0"/>
        <w:strike w:val="0"/>
        <w:shd w:fill="auto" w:val="clear"/>
        <w:vertAlign w:val="baseline"/>
      </w:rPr>
    </w:lvl>
    <w:lvl w:ilvl="4">
      <w:start w:val="1"/>
      <w:numFmt w:val="decimal"/>
      <w:lvlText w:val="%2.%3.%4.%5."/>
      <w:lvlJc w:val="left"/>
      <w:pPr>
        <w:ind w:left="905" w:hanging="445"/>
      </w:pPr>
      <w:rPr>
        <w:rFonts w:ascii="Calibri" w:cs="Calibri" w:eastAsia="Calibri" w:hAnsi="Calibri"/>
        <w:b w:val="1"/>
        <w:i w:val="0"/>
        <w:smallCaps w:val="0"/>
        <w:strike w:val="0"/>
        <w:shd w:fill="auto" w:val="clear"/>
        <w:vertAlign w:val="baseline"/>
      </w:rPr>
    </w:lvl>
    <w:lvl w:ilvl="5">
      <w:start w:val="1"/>
      <w:numFmt w:val="decimal"/>
      <w:lvlText w:val="%2.%3.%4.%5.%6."/>
      <w:lvlJc w:val="left"/>
      <w:pPr>
        <w:ind w:left="1020" w:hanging="445"/>
      </w:pPr>
      <w:rPr>
        <w:rFonts w:ascii="Calibri" w:cs="Calibri" w:eastAsia="Calibri" w:hAnsi="Calibri"/>
        <w:b w:val="1"/>
        <w:i w:val="0"/>
        <w:smallCaps w:val="0"/>
        <w:strike w:val="0"/>
        <w:shd w:fill="auto" w:val="clear"/>
        <w:vertAlign w:val="baseline"/>
      </w:rPr>
    </w:lvl>
    <w:lvl w:ilvl="6">
      <w:start w:val="1"/>
      <w:numFmt w:val="decimal"/>
      <w:lvlText w:val="%2.%3.%4.%5.%6.%7."/>
      <w:lvlJc w:val="left"/>
      <w:pPr>
        <w:ind w:left="1135" w:hanging="445"/>
      </w:pPr>
      <w:rPr>
        <w:rFonts w:ascii="Calibri" w:cs="Calibri" w:eastAsia="Calibri" w:hAnsi="Calibri"/>
        <w:b w:val="1"/>
        <w:i w:val="0"/>
        <w:smallCaps w:val="0"/>
        <w:strike w:val="0"/>
        <w:shd w:fill="auto" w:val="clear"/>
        <w:vertAlign w:val="baseline"/>
      </w:rPr>
    </w:lvl>
    <w:lvl w:ilvl="7">
      <w:start w:val="1"/>
      <w:numFmt w:val="decimal"/>
      <w:lvlText w:val="%2.%3.%4.%5.%6.%7.%8."/>
      <w:lvlJc w:val="left"/>
      <w:pPr>
        <w:ind w:left="1250" w:hanging="445"/>
      </w:pPr>
      <w:rPr>
        <w:rFonts w:ascii="Calibri" w:cs="Calibri" w:eastAsia="Calibri" w:hAnsi="Calibri"/>
        <w:b w:val="1"/>
        <w:i w:val="0"/>
        <w:smallCaps w:val="0"/>
        <w:strike w:val="0"/>
        <w:shd w:fill="auto" w:val="clear"/>
        <w:vertAlign w:val="baseline"/>
      </w:rPr>
    </w:lvl>
    <w:lvl w:ilvl="8">
      <w:start w:val="1"/>
      <w:numFmt w:val="decimal"/>
      <w:lvlText w:val="%2.%3.%4.%5.%6.%7.%8.%9."/>
      <w:lvlJc w:val="left"/>
      <w:pPr>
        <w:ind w:left="1365" w:hanging="445"/>
      </w:pPr>
      <w:rPr>
        <w:rFonts w:ascii="Calibri" w:cs="Calibri" w:eastAsia="Calibri" w:hAnsi="Calibri"/>
        <w:b w:val="1"/>
        <w:i w:val="0"/>
        <w:smallCaps w:val="0"/>
        <w:strike w:val="0"/>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 w:right="0" w:hanging="116"/>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 w:right="0" w:hanging="258"/>
      <w:jc w:val="left"/>
    </w:pPr>
    <w:rPr>
      <w:rFonts w:ascii="Calibri" w:cs="Calibri" w:eastAsia="Calibri" w:hAnsi="Calibri"/>
      <w:b w:val="1"/>
      <w:i w:val="1"/>
      <w:smallCaps w:val="0"/>
      <w:strike w:val="0"/>
      <w:color w:val="000000"/>
      <w:sz w:val="22"/>
      <w:szCs w:val="22"/>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 w:right="0" w:hanging="116"/>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 w:right="0" w:hanging="258"/>
      <w:jc w:val="left"/>
    </w:pPr>
    <w:rPr>
      <w:rFonts w:ascii="Calibri" w:cs="Calibri" w:eastAsia="Calibri" w:hAnsi="Calibri"/>
      <w:b w:val="1"/>
      <w:i w:val="1"/>
      <w:smallCaps w:val="0"/>
      <w:strike w:val="0"/>
      <w:color w:val="000000"/>
      <w:sz w:val="22"/>
      <w:szCs w:val="22"/>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sz w:val="24"/>
      <w:szCs w:val="24"/>
      <w:lang w:eastAsia="en-US" w:val="en-US"/>
    </w:rPr>
  </w:style>
  <w:style w:type="paragraph" w:styleId="Titre1">
    <w:name w:val="heading 1"/>
    <w:uiPriority w:val="9"/>
    <w:qFormat w:val="1"/>
    <w:pPr>
      <w:widowControl w:val="0"/>
      <w:ind w:left="116"/>
      <w:outlineLvl w:val="0"/>
    </w:pPr>
    <w:rPr>
      <w:rFonts w:ascii="Calibri" w:cs="Arial Unicode MS" w:hAnsi="Calibri"/>
      <w:b w:val="1"/>
      <w:bCs w:val="1"/>
      <w:color w:val="000000"/>
      <w:sz w:val="22"/>
      <w:szCs w:val="22"/>
      <w:u w:color="000000"/>
    </w:rPr>
  </w:style>
  <w:style w:type="paragraph" w:styleId="Titre2">
    <w:name w:val="heading 2"/>
    <w:uiPriority w:val="9"/>
    <w:unhideWhenUsed w:val="1"/>
    <w:qFormat w:val="1"/>
    <w:pPr>
      <w:widowControl w:val="0"/>
      <w:ind w:left="258"/>
      <w:outlineLvl w:val="1"/>
    </w:pPr>
    <w:rPr>
      <w:rFonts w:ascii="Calibri" w:cs="Arial Unicode MS" w:hAnsi="Calibri"/>
      <w:b w:val="1"/>
      <w:bCs w:val="1"/>
      <w:i w:val="1"/>
      <w:iCs w:val="1"/>
      <w:color w:val="000000"/>
      <w:sz w:val="22"/>
      <w:szCs w:val="22"/>
      <w:u w:color="000000"/>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character" w:styleId="Lienhypertexte">
    <w:name w:val="Hyperlink"/>
    <w:rPr>
      <w:u w:val="single"/>
    </w:rPr>
  </w:style>
  <w:style w:type="table" w:styleId="TableNormal" w:customStyle="1">
    <w:name w:val="Table Normal"/>
    <w:tblPr>
      <w:tblInd w:w="0.0" w:type="dxa"/>
      <w:tblCellMar>
        <w:top w:w="0.0" w:type="dxa"/>
        <w:left w:w="0.0" w:type="dxa"/>
        <w:bottom w:w="0.0" w:type="dxa"/>
        <w:right w:w="0.0" w:type="dxa"/>
      </w:tblCellMar>
    </w:tblPr>
  </w:style>
  <w:style w:type="paragraph" w:styleId="En-tte">
    <w:name w:val="header"/>
    <w:pPr>
      <w:tabs>
        <w:tab w:val="right" w:pos="9020"/>
      </w:tabs>
    </w:pPr>
    <w:rPr>
      <w:rFonts w:ascii="Helvetica Neue" w:cs="Arial Unicode MS" w:hAnsi="Helvetica Neue"/>
      <w:color w:val="000000"/>
      <w:sz w:val="24"/>
      <w:szCs w:val="24"/>
      <w14:textOutline w14:cap="flat" w14:cmpd="sng" w14:algn="ctr">
        <w14:noFill/>
        <w14:prstDash w14:val="solid"/>
        <w14:bevel/>
      </w14:textOutline>
    </w:rPr>
  </w:style>
  <w:style w:type="paragraph" w:styleId="Corpsdetexte">
    <w:name w:val="Body Text"/>
    <w:pPr>
      <w:widowControl w:val="0"/>
    </w:pPr>
    <w:rPr>
      <w:rFonts w:ascii="Calibri" w:cs="Arial Unicode MS" w:hAnsi="Calibri"/>
      <w:color w:val="000000"/>
      <w:sz w:val="22"/>
      <w:szCs w:val="22"/>
      <w:u w:color="000000"/>
    </w:rPr>
  </w:style>
  <w:style w:type="character" w:styleId="Aucun" w:customStyle="1">
    <w:name w:val="Aucun"/>
  </w:style>
  <w:style w:type="paragraph" w:styleId="Corps" w:customStyle="1">
    <w:name w:val="Corps"/>
    <w:pPr>
      <w:widowControl w:val="0"/>
    </w:pPr>
    <w:rPr>
      <w:rFonts w:ascii="Calibri" w:cs="Arial Unicode MS" w:hAnsi="Calibri"/>
      <w:color w:val="000000"/>
      <w:sz w:val="22"/>
      <w:szCs w:val="22"/>
      <w:u w:color="000000"/>
      <w:lang w:val="en-US"/>
      <w14:textOutline w14:cap="flat" w14:cmpd="sng" w14:algn="ctr">
        <w14:noFill/>
        <w14:prstDash w14:val="solid"/>
        <w14:bevel/>
      </w14:textOutline>
    </w:rPr>
  </w:style>
  <w:style w:type="paragraph" w:styleId="Paragraphedeliste">
    <w:name w:val="List Paragraph"/>
    <w:pPr>
      <w:widowControl w:val="0"/>
      <w:ind w:left="560" w:hanging="445"/>
    </w:pPr>
    <w:rPr>
      <w:rFonts w:ascii="Calibri" w:cs="Arial Unicode MS" w:hAnsi="Calibri"/>
      <w:color w:val="000000"/>
      <w:sz w:val="22"/>
      <w:szCs w:val="22"/>
      <w:u w:color="000000"/>
    </w:rPr>
  </w:style>
  <w:style w:type="numbering" w:styleId="Style1import" w:customStyle="1">
    <w:name w:val="Style 1 importé"/>
    <w:pPr>
      <w:numPr>
        <w:numId w:val="1"/>
      </w:numPr>
    </w:pPr>
  </w:style>
  <w:style w:type="numbering" w:styleId="Style2import" w:customStyle="1">
    <w:name w:val="Style 2 importé"/>
    <w:pPr>
      <w:numPr>
        <w:numId w:val="3"/>
      </w:numPr>
    </w:pPr>
  </w:style>
  <w:style w:type="numbering" w:styleId="Style3import" w:customStyle="1">
    <w:name w:val="Style 3 importé"/>
    <w:pPr>
      <w:numPr>
        <w:numId w:val="5"/>
      </w:numPr>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A351opUlsPlsNoIDHl4tvPfvEg==">CgMxLjAyDWguMjRja2l5cjUwOWQ4AHIhMU5UdHV4STVRSHd0QnpMd0EzLXhuaEJJWW5DenFSMzJ2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2025-01-09T13:07:00Z</dcterms:created>
</cp:coreProperties>
</file>