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107C" w:rsidRDefault="003C36B5">
      <w:pPr>
        <w:pStyle w:val="Titre"/>
      </w:pPr>
      <w:bookmarkStart w:id="0" w:name="_GoBack"/>
      <w:bookmarkEnd w:id="0"/>
      <w:r>
        <w:t>Plan de Data Governance — Spotify</w:t>
      </w:r>
    </w:p>
    <w:p w:rsidR="00ED107C" w:rsidRDefault="003C36B5">
      <w:pPr>
        <w:pStyle w:val="Sous-titre"/>
      </w:pPr>
      <w:r>
        <w:t>Diagnostic de maturité · Politique de gouvernance · Organisation &amp; rôles · Plan d’implémentation et pilote</w:t>
      </w:r>
    </w:p>
    <w:p w:rsidR="00ED107C" w:rsidRDefault="003C36B5">
      <w:pPr>
        <w:pStyle w:val="Author"/>
      </w:pPr>
      <w:r>
        <w:t>Emeline ROBLOT — Data Governance Specialist</w:t>
      </w:r>
    </w:p>
    <w:p w:rsidR="00ED107C" w:rsidRDefault="003C36B5">
      <w:pPr>
        <w:pStyle w:val="Date"/>
      </w:pPr>
      <w:r>
        <w:t>Septembre 2026 · Version 1.0</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518"/>
        <w:gridCol w:w="2601"/>
        <w:gridCol w:w="3468"/>
        <w:gridCol w:w="2601"/>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1179"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Rôle joué</w:t>
            </w:r>
          </w:p>
        </w:tc>
        <w:tc>
          <w:tcPr>
            <w:tcW w:w="2022"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Livrable</w:t>
            </w:r>
          </w:p>
        </w:tc>
        <w:tc>
          <w:tcPr>
            <w:tcW w:w="2696"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Périmètre</w:t>
            </w:r>
          </w:p>
        </w:tc>
        <w:tc>
          <w:tcPr>
            <w:tcW w:w="2022"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Conformités visées</w:t>
            </w:r>
          </w:p>
        </w:tc>
      </w:tr>
      <w:tr w:rsidR="00ED107C" w:rsidRPr="003C36B5" w:rsidTr="003C36B5">
        <w:tc>
          <w:tcPr>
            <w:tcW w:w="1179" w:type="dxa"/>
            <w:shd w:val="clear" w:color="auto" w:fill="auto"/>
          </w:tcPr>
          <w:p w:rsidR="00ED107C" w:rsidRPr="003C36B5" w:rsidRDefault="003C36B5" w:rsidP="003C36B5">
            <w:pPr>
              <w:pStyle w:val="Compact"/>
              <w:spacing w:before="20" w:after="20"/>
              <w:rPr>
                <w:sz w:val="16"/>
              </w:rPr>
            </w:pPr>
            <w:r w:rsidRPr="003C36B5">
              <w:rPr>
                <w:sz w:val="16"/>
              </w:rPr>
              <w:t>Data Governance Specialist, Spotify</w:t>
            </w:r>
          </w:p>
        </w:tc>
        <w:tc>
          <w:tcPr>
            <w:tcW w:w="2022" w:type="dxa"/>
            <w:shd w:val="clear" w:color="auto" w:fill="auto"/>
          </w:tcPr>
          <w:p w:rsidR="00ED107C" w:rsidRPr="003C36B5" w:rsidRDefault="003C36B5" w:rsidP="003C36B5">
            <w:pPr>
              <w:pStyle w:val="Compact"/>
              <w:spacing w:before="20" w:after="20"/>
              <w:rPr>
                <w:sz w:val="16"/>
              </w:rPr>
            </w:pPr>
            <w:r w:rsidRPr="003C36B5">
              <w:rPr>
                <w:sz w:val="16"/>
              </w:rPr>
              <w:t>Plan de gouvernance (document unique) et présentation executive associée</w:t>
            </w:r>
          </w:p>
        </w:tc>
        <w:tc>
          <w:tcPr>
            <w:tcW w:w="2696" w:type="dxa"/>
            <w:shd w:val="clear" w:color="auto" w:fill="auto"/>
          </w:tcPr>
          <w:p w:rsidR="00ED107C" w:rsidRPr="003C36B5" w:rsidRDefault="003C36B5" w:rsidP="003C36B5">
            <w:pPr>
              <w:pStyle w:val="Compact"/>
              <w:spacing w:before="20" w:after="20"/>
              <w:rPr>
                <w:sz w:val="16"/>
              </w:rPr>
            </w:pPr>
            <w:r w:rsidRPr="003C36B5">
              <w:rPr>
                <w:sz w:val="16"/>
              </w:rPr>
              <w:t>Opérations data globales — 450 M d’utilisateurs, 200 M d’abonnés premium, 180+ pays</w:t>
            </w:r>
          </w:p>
        </w:tc>
        <w:tc>
          <w:tcPr>
            <w:tcW w:w="2022" w:type="dxa"/>
            <w:shd w:val="clear" w:color="auto" w:fill="auto"/>
          </w:tcPr>
          <w:p w:rsidR="00ED107C" w:rsidRPr="003C36B5" w:rsidRDefault="003C36B5" w:rsidP="003C36B5">
            <w:pPr>
              <w:pStyle w:val="Compact"/>
              <w:spacing w:before="20" w:after="20"/>
              <w:rPr>
                <w:sz w:val="16"/>
              </w:rPr>
            </w:pPr>
            <w:r w:rsidRPr="003C36B5">
              <w:rPr>
                <w:sz w:val="16"/>
              </w:rPr>
              <w:t xml:space="preserve">GDPR · CCPA/CPRA · PCI-DSS · PDPA · LGPD · </w:t>
            </w:r>
            <w:r w:rsidRPr="003C36B5">
              <w:rPr>
                <w:sz w:val="16"/>
              </w:rPr>
              <w:t>DSA</w:t>
            </w:r>
          </w:p>
        </w:tc>
      </w:tr>
    </w:tbl>
    <w:p w:rsidR="00ED107C" w:rsidRDefault="003C36B5">
      <w:pPr>
        <w:pStyle w:val="Corpsdetexte"/>
      </w:pPr>
      <w:r>
        <w:t>Ce document rassemble les quatre étapes du projet en un plan de gouvernance unique. Chaque partie est lisible seule ; les annexes contiennent la checklist de conformité remplie et les sources. Les chiffres sourcés et les hypothèses de travail sont dis</w:t>
      </w:r>
      <w:r>
        <w:t>tingués explicitement (annexe B).</w:t>
      </w:r>
    </w:p>
    <w:p w:rsidR="00ED107C" w:rsidRDefault="003C36B5">
      <w:r>
        <w:br w:type="page"/>
      </w:r>
    </w:p>
    <w:p w:rsidR="00ED107C" w:rsidRDefault="003C36B5">
      <w:pPr>
        <w:pStyle w:val="Corpsdetexte"/>
      </w:pPr>
      <w:r>
        <w:rPr>
          <w:b/>
          <w:bCs/>
        </w:rPr>
        <w:lastRenderedPageBreak/>
        <w:t>Sommaire</w:t>
      </w:r>
    </w:p>
    <w:p w:rsidR="003C36B5" w:rsidRDefault="003C36B5">
      <w:pPr>
        <w:pStyle w:val="TM1"/>
        <w:tabs>
          <w:tab w:val="right" w:leader="dot" w:pos="9962"/>
        </w:tabs>
        <w:rPr>
          <w:noProof/>
        </w:rPr>
      </w:pPr>
      <w:r>
        <w:fldChar w:fldCharType="begin"/>
      </w:r>
      <w:r>
        <w:instrText xml:space="preserve"> TOC \o "1-2" </w:instrText>
      </w:r>
      <w:r>
        <w:fldChar w:fldCharType="separate"/>
      </w:r>
      <w:r>
        <w:rPr>
          <w:noProof/>
        </w:rPr>
        <w:t>Synthèse exécutive</w:t>
      </w:r>
      <w:r>
        <w:rPr>
          <w:noProof/>
        </w:rPr>
        <w:tab/>
      </w:r>
      <w:r>
        <w:rPr>
          <w:noProof/>
        </w:rPr>
        <w:fldChar w:fldCharType="begin"/>
      </w:r>
      <w:r>
        <w:rPr>
          <w:noProof/>
        </w:rPr>
        <w:instrText xml:space="preserve"> PAGEREF _Toc240702652 \h </w:instrText>
      </w:r>
      <w:r>
        <w:rPr>
          <w:noProof/>
        </w:rPr>
      </w:r>
      <w:r>
        <w:rPr>
          <w:noProof/>
        </w:rPr>
        <w:fldChar w:fldCharType="separate"/>
      </w:r>
      <w:r>
        <w:rPr>
          <w:noProof/>
        </w:rPr>
        <w:t>3</w:t>
      </w:r>
      <w:r>
        <w:rPr>
          <w:noProof/>
        </w:rPr>
        <w:fldChar w:fldCharType="end"/>
      </w:r>
    </w:p>
    <w:p w:rsidR="003C36B5" w:rsidRDefault="003C36B5">
      <w:pPr>
        <w:pStyle w:val="TM1"/>
        <w:tabs>
          <w:tab w:val="right" w:leader="dot" w:pos="9962"/>
        </w:tabs>
        <w:rPr>
          <w:noProof/>
        </w:rPr>
      </w:pPr>
      <w:r>
        <w:rPr>
          <w:noProof/>
        </w:rPr>
        <w:t>Partie 1 — Data Maturity Assessment</w:t>
      </w:r>
      <w:r>
        <w:rPr>
          <w:noProof/>
        </w:rPr>
        <w:tab/>
      </w:r>
      <w:r>
        <w:rPr>
          <w:noProof/>
        </w:rPr>
        <w:fldChar w:fldCharType="begin"/>
      </w:r>
      <w:r>
        <w:rPr>
          <w:noProof/>
        </w:rPr>
        <w:instrText xml:space="preserve"> PAGEREF _Toc240702653 \h </w:instrText>
      </w:r>
      <w:r>
        <w:rPr>
          <w:noProof/>
        </w:rPr>
      </w:r>
      <w:r>
        <w:rPr>
          <w:noProof/>
        </w:rPr>
        <w:fldChar w:fldCharType="separate"/>
      </w:r>
      <w:r>
        <w:rPr>
          <w:noProof/>
        </w:rPr>
        <w:t>4</w:t>
      </w:r>
      <w:r>
        <w:rPr>
          <w:noProof/>
        </w:rPr>
        <w:fldChar w:fldCharType="end"/>
      </w:r>
    </w:p>
    <w:p w:rsidR="003C36B5" w:rsidRDefault="003C36B5">
      <w:pPr>
        <w:pStyle w:val="TM2"/>
        <w:tabs>
          <w:tab w:val="right" w:leader="dot" w:pos="9962"/>
        </w:tabs>
        <w:rPr>
          <w:noProof/>
        </w:rPr>
      </w:pPr>
      <w:r>
        <w:rPr>
          <w:noProof/>
        </w:rPr>
        <w:t>1. Verdict global : 3,4 / 5 — « Proactive » incomplet</w:t>
      </w:r>
      <w:r>
        <w:rPr>
          <w:noProof/>
        </w:rPr>
        <w:tab/>
      </w:r>
      <w:r>
        <w:rPr>
          <w:noProof/>
        </w:rPr>
        <w:fldChar w:fldCharType="begin"/>
      </w:r>
      <w:r>
        <w:rPr>
          <w:noProof/>
        </w:rPr>
        <w:instrText xml:space="preserve"> PAGEREF _Toc240702654 \h </w:instrText>
      </w:r>
      <w:r>
        <w:rPr>
          <w:noProof/>
        </w:rPr>
      </w:r>
      <w:r>
        <w:rPr>
          <w:noProof/>
        </w:rPr>
        <w:fldChar w:fldCharType="separate"/>
      </w:r>
      <w:r>
        <w:rPr>
          <w:noProof/>
        </w:rPr>
        <w:t>4</w:t>
      </w:r>
      <w:r>
        <w:rPr>
          <w:noProof/>
        </w:rPr>
        <w:fldChar w:fldCharType="end"/>
      </w:r>
    </w:p>
    <w:p w:rsidR="003C36B5" w:rsidRDefault="003C36B5">
      <w:pPr>
        <w:pStyle w:val="TM2"/>
        <w:tabs>
          <w:tab w:val="right" w:leader="dot" w:pos="9962"/>
        </w:tabs>
        <w:rPr>
          <w:noProof/>
        </w:rPr>
      </w:pPr>
      <w:r>
        <w:rPr>
          <w:noProof/>
        </w:rPr>
        <w:t>2. Évaluation par dimension</w:t>
      </w:r>
      <w:r>
        <w:rPr>
          <w:noProof/>
        </w:rPr>
        <w:tab/>
      </w:r>
      <w:r>
        <w:rPr>
          <w:noProof/>
        </w:rPr>
        <w:fldChar w:fldCharType="begin"/>
      </w:r>
      <w:r>
        <w:rPr>
          <w:noProof/>
        </w:rPr>
        <w:instrText xml:space="preserve"> PAGEREF _Toc240702655 \h </w:instrText>
      </w:r>
      <w:r>
        <w:rPr>
          <w:noProof/>
        </w:rPr>
      </w:r>
      <w:r>
        <w:rPr>
          <w:noProof/>
        </w:rPr>
        <w:fldChar w:fldCharType="separate"/>
      </w:r>
      <w:r>
        <w:rPr>
          <w:noProof/>
        </w:rPr>
        <w:t>4</w:t>
      </w:r>
      <w:r>
        <w:rPr>
          <w:noProof/>
        </w:rPr>
        <w:fldChar w:fldCharType="end"/>
      </w:r>
    </w:p>
    <w:p w:rsidR="003C36B5" w:rsidRDefault="003C36B5">
      <w:pPr>
        <w:pStyle w:val="TM2"/>
        <w:tabs>
          <w:tab w:val="right" w:leader="dot" w:pos="9962"/>
        </w:tabs>
        <w:rPr>
          <w:noProof/>
        </w:rPr>
      </w:pPr>
      <w:r>
        <w:rPr>
          <w:noProof/>
        </w:rPr>
        <w:t>3. Challenges prioritaires</w:t>
      </w:r>
      <w:r>
        <w:rPr>
          <w:noProof/>
        </w:rPr>
        <w:tab/>
      </w:r>
      <w:r>
        <w:rPr>
          <w:noProof/>
        </w:rPr>
        <w:fldChar w:fldCharType="begin"/>
      </w:r>
      <w:r>
        <w:rPr>
          <w:noProof/>
        </w:rPr>
        <w:instrText xml:space="preserve"> PAGEREF _Toc240702656 \h </w:instrText>
      </w:r>
      <w:r>
        <w:rPr>
          <w:noProof/>
        </w:rPr>
      </w:r>
      <w:r>
        <w:rPr>
          <w:noProof/>
        </w:rPr>
        <w:fldChar w:fldCharType="separate"/>
      </w:r>
      <w:r>
        <w:rPr>
          <w:noProof/>
        </w:rPr>
        <w:t>5</w:t>
      </w:r>
      <w:r>
        <w:rPr>
          <w:noProof/>
        </w:rPr>
        <w:fldChar w:fldCharType="end"/>
      </w:r>
    </w:p>
    <w:p w:rsidR="003C36B5" w:rsidRDefault="003C36B5">
      <w:pPr>
        <w:pStyle w:val="TM2"/>
        <w:tabs>
          <w:tab w:val="right" w:leader="dot" w:pos="9962"/>
        </w:tabs>
        <w:rPr>
          <w:noProof/>
        </w:rPr>
      </w:pPr>
      <w:r>
        <w:rPr>
          <w:noProof/>
        </w:rPr>
        <w:t>4. Cibles à 12 mois</w:t>
      </w:r>
      <w:r>
        <w:rPr>
          <w:noProof/>
        </w:rPr>
        <w:tab/>
      </w:r>
      <w:r>
        <w:rPr>
          <w:noProof/>
        </w:rPr>
        <w:fldChar w:fldCharType="begin"/>
      </w:r>
      <w:r>
        <w:rPr>
          <w:noProof/>
        </w:rPr>
        <w:instrText xml:space="preserve"> PAGEREF _Toc240702657 \h </w:instrText>
      </w:r>
      <w:r>
        <w:rPr>
          <w:noProof/>
        </w:rPr>
      </w:r>
      <w:r>
        <w:rPr>
          <w:noProof/>
        </w:rPr>
        <w:fldChar w:fldCharType="separate"/>
      </w:r>
      <w:r>
        <w:rPr>
          <w:noProof/>
        </w:rPr>
        <w:t>5</w:t>
      </w:r>
      <w:r>
        <w:rPr>
          <w:noProof/>
        </w:rPr>
        <w:fldChar w:fldCharType="end"/>
      </w:r>
    </w:p>
    <w:p w:rsidR="003C36B5" w:rsidRDefault="003C36B5">
      <w:pPr>
        <w:pStyle w:val="TM1"/>
        <w:tabs>
          <w:tab w:val="right" w:leader="dot" w:pos="9962"/>
        </w:tabs>
        <w:rPr>
          <w:noProof/>
        </w:rPr>
      </w:pPr>
      <w:r>
        <w:rPr>
          <w:noProof/>
        </w:rPr>
        <w:t>Partie 2 — Data Governance Policy</w:t>
      </w:r>
      <w:r>
        <w:rPr>
          <w:noProof/>
        </w:rPr>
        <w:tab/>
      </w:r>
      <w:r>
        <w:rPr>
          <w:noProof/>
        </w:rPr>
        <w:fldChar w:fldCharType="begin"/>
      </w:r>
      <w:r>
        <w:rPr>
          <w:noProof/>
        </w:rPr>
        <w:instrText xml:space="preserve"> PAGEREF _Toc240702658 \h </w:instrText>
      </w:r>
      <w:r>
        <w:rPr>
          <w:noProof/>
        </w:rPr>
      </w:r>
      <w:r>
        <w:rPr>
          <w:noProof/>
        </w:rPr>
        <w:fldChar w:fldCharType="separate"/>
      </w:r>
      <w:r>
        <w:rPr>
          <w:noProof/>
        </w:rPr>
        <w:t>6</w:t>
      </w:r>
      <w:r>
        <w:rPr>
          <w:noProof/>
        </w:rPr>
        <w:fldChar w:fldCharType="end"/>
      </w:r>
    </w:p>
    <w:p w:rsidR="003C36B5" w:rsidRDefault="003C36B5">
      <w:pPr>
        <w:pStyle w:val="TM2"/>
        <w:tabs>
          <w:tab w:val="right" w:leader="dot" w:pos="9962"/>
        </w:tabs>
        <w:rPr>
          <w:noProof/>
        </w:rPr>
      </w:pPr>
      <w:r>
        <w:rPr>
          <w:noProof/>
        </w:rPr>
        <w:t>1. Objet et champ d’application</w:t>
      </w:r>
      <w:r>
        <w:rPr>
          <w:noProof/>
        </w:rPr>
        <w:tab/>
      </w:r>
      <w:r>
        <w:rPr>
          <w:noProof/>
        </w:rPr>
        <w:fldChar w:fldCharType="begin"/>
      </w:r>
      <w:r>
        <w:rPr>
          <w:noProof/>
        </w:rPr>
        <w:instrText xml:space="preserve"> PAGEREF _Toc240702659 \h </w:instrText>
      </w:r>
      <w:r>
        <w:rPr>
          <w:noProof/>
        </w:rPr>
      </w:r>
      <w:r>
        <w:rPr>
          <w:noProof/>
        </w:rPr>
        <w:fldChar w:fldCharType="separate"/>
      </w:r>
      <w:r>
        <w:rPr>
          <w:noProof/>
        </w:rPr>
        <w:t>6</w:t>
      </w:r>
      <w:r>
        <w:rPr>
          <w:noProof/>
        </w:rPr>
        <w:fldChar w:fldCharType="end"/>
      </w:r>
    </w:p>
    <w:p w:rsidR="003C36B5" w:rsidRDefault="003C36B5">
      <w:pPr>
        <w:pStyle w:val="TM2"/>
        <w:tabs>
          <w:tab w:val="right" w:leader="dot" w:pos="9962"/>
        </w:tabs>
        <w:rPr>
          <w:noProof/>
        </w:rPr>
      </w:pPr>
      <w:r>
        <w:rPr>
          <w:noProof/>
        </w:rPr>
        <w:t>2. Principes (Governance Principles Guide)</w:t>
      </w:r>
      <w:r>
        <w:rPr>
          <w:noProof/>
        </w:rPr>
        <w:tab/>
      </w:r>
      <w:r>
        <w:rPr>
          <w:noProof/>
        </w:rPr>
        <w:fldChar w:fldCharType="begin"/>
      </w:r>
      <w:r>
        <w:rPr>
          <w:noProof/>
        </w:rPr>
        <w:instrText xml:space="preserve"> PAGEREF _Toc240702660 \h </w:instrText>
      </w:r>
      <w:r>
        <w:rPr>
          <w:noProof/>
        </w:rPr>
      </w:r>
      <w:r>
        <w:rPr>
          <w:noProof/>
        </w:rPr>
        <w:fldChar w:fldCharType="separate"/>
      </w:r>
      <w:r>
        <w:rPr>
          <w:noProof/>
        </w:rPr>
        <w:t>6</w:t>
      </w:r>
      <w:r>
        <w:rPr>
          <w:noProof/>
        </w:rPr>
        <w:fldChar w:fldCharType="end"/>
      </w:r>
    </w:p>
    <w:p w:rsidR="003C36B5" w:rsidRDefault="003C36B5">
      <w:pPr>
        <w:pStyle w:val="TM2"/>
        <w:tabs>
          <w:tab w:val="right" w:leader="dot" w:pos="9962"/>
        </w:tabs>
        <w:rPr>
          <w:noProof/>
        </w:rPr>
      </w:pPr>
      <w:r>
        <w:rPr>
          <w:noProof/>
        </w:rPr>
        <w:t>3. Qualité des données</w:t>
      </w:r>
      <w:r>
        <w:rPr>
          <w:noProof/>
        </w:rPr>
        <w:tab/>
      </w:r>
      <w:r>
        <w:rPr>
          <w:noProof/>
        </w:rPr>
        <w:fldChar w:fldCharType="begin"/>
      </w:r>
      <w:r>
        <w:rPr>
          <w:noProof/>
        </w:rPr>
        <w:instrText xml:space="preserve"> PAGEREF _Toc240702661 \h </w:instrText>
      </w:r>
      <w:r>
        <w:rPr>
          <w:noProof/>
        </w:rPr>
      </w:r>
      <w:r>
        <w:rPr>
          <w:noProof/>
        </w:rPr>
        <w:fldChar w:fldCharType="separate"/>
      </w:r>
      <w:r>
        <w:rPr>
          <w:noProof/>
        </w:rPr>
        <w:t>6</w:t>
      </w:r>
      <w:r>
        <w:rPr>
          <w:noProof/>
        </w:rPr>
        <w:fldChar w:fldCharType="end"/>
      </w:r>
    </w:p>
    <w:p w:rsidR="003C36B5" w:rsidRDefault="003C36B5">
      <w:pPr>
        <w:pStyle w:val="TM2"/>
        <w:tabs>
          <w:tab w:val="right" w:leader="dot" w:pos="9962"/>
        </w:tabs>
        <w:rPr>
          <w:noProof/>
        </w:rPr>
      </w:pPr>
      <w:r>
        <w:rPr>
          <w:noProof/>
        </w:rPr>
        <w:t>4. Sécurité, classification, accès et cycle de vie</w:t>
      </w:r>
      <w:r>
        <w:rPr>
          <w:noProof/>
        </w:rPr>
        <w:tab/>
      </w:r>
      <w:r>
        <w:rPr>
          <w:noProof/>
        </w:rPr>
        <w:fldChar w:fldCharType="begin"/>
      </w:r>
      <w:r>
        <w:rPr>
          <w:noProof/>
        </w:rPr>
        <w:instrText xml:space="preserve"> PAGEREF _Toc240702662 \h </w:instrText>
      </w:r>
      <w:r>
        <w:rPr>
          <w:noProof/>
        </w:rPr>
      </w:r>
      <w:r>
        <w:rPr>
          <w:noProof/>
        </w:rPr>
        <w:fldChar w:fldCharType="separate"/>
      </w:r>
      <w:r>
        <w:rPr>
          <w:noProof/>
        </w:rPr>
        <w:t>6</w:t>
      </w:r>
      <w:r>
        <w:rPr>
          <w:noProof/>
        </w:rPr>
        <w:fldChar w:fldCharType="end"/>
      </w:r>
    </w:p>
    <w:p w:rsidR="003C36B5" w:rsidRDefault="003C36B5">
      <w:pPr>
        <w:pStyle w:val="TM2"/>
        <w:tabs>
          <w:tab w:val="right" w:leader="dot" w:pos="9962"/>
        </w:tabs>
        <w:rPr>
          <w:noProof/>
        </w:rPr>
      </w:pPr>
      <w:r>
        <w:rPr>
          <w:noProof/>
        </w:rPr>
        <w:t>5. Conformité réglementaire</w:t>
      </w:r>
      <w:r>
        <w:rPr>
          <w:noProof/>
        </w:rPr>
        <w:tab/>
      </w:r>
      <w:r>
        <w:rPr>
          <w:noProof/>
        </w:rPr>
        <w:fldChar w:fldCharType="begin"/>
      </w:r>
      <w:r>
        <w:rPr>
          <w:noProof/>
        </w:rPr>
        <w:instrText xml:space="preserve"> PAGEREF _Toc240702663 \h </w:instrText>
      </w:r>
      <w:r>
        <w:rPr>
          <w:noProof/>
        </w:rPr>
      </w:r>
      <w:r>
        <w:rPr>
          <w:noProof/>
        </w:rPr>
        <w:fldChar w:fldCharType="separate"/>
      </w:r>
      <w:r>
        <w:rPr>
          <w:noProof/>
        </w:rPr>
        <w:t>7</w:t>
      </w:r>
      <w:r>
        <w:rPr>
          <w:noProof/>
        </w:rPr>
        <w:fldChar w:fldCharType="end"/>
      </w:r>
    </w:p>
    <w:p w:rsidR="003C36B5" w:rsidRDefault="003C36B5">
      <w:pPr>
        <w:pStyle w:val="TM2"/>
        <w:tabs>
          <w:tab w:val="right" w:leader="dot" w:pos="9962"/>
        </w:tabs>
        <w:rPr>
          <w:noProof/>
        </w:rPr>
      </w:pPr>
      <w:r>
        <w:rPr>
          <w:noProof/>
        </w:rPr>
        <w:t>6. Rôles et responsabilités</w:t>
      </w:r>
      <w:r>
        <w:rPr>
          <w:noProof/>
        </w:rPr>
        <w:tab/>
      </w:r>
      <w:r>
        <w:rPr>
          <w:noProof/>
        </w:rPr>
        <w:fldChar w:fldCharType="begin"/>
      </w:r>
      <w:r>
        <w:rPr>
          <w:noProof/>
        </w:rPr>
        <w:instrText xml:space="preserve"> PAGEREF _Toc240702664 \h </w:instrText>
      </w:r>
      <w:r>
        <w:rPr>
          <w:noProof/>
        </w:rPr>
      </w:r>
      <w:r>
        <w:rPr>
          <w:noProof/>
        </w:rPr>
        <w:fldChar w:fldCharType="separate"/>
      </w:r>
      <w:r>
        <w:rPr>
          <w:noProof/>
        </w:rPr>
        <w:t>8</w:t>
      </w:r>
      <w:r>
        <w:rPr>
          <w:noProof/>
        </w:rPr>
        <w:fldChar w:fldCharType="end"/>
      </w:r>
    </w:p>
    <w:p w:rsidR="003C36B5" w:rsidRDefault="003C36B5">
      <w:pPr>
        <w:pStyle w:val="TM2"/>
        <w:tabs>
          <w:tab w:val="right" w:leader="dot" w:pos="9962"/>
        </w:tabs>
        <w:rPr>
          <w:noProof/>
        </w:rPr>
      </w:pPr>
      <w:r>
        <w:rPr>
          <w:noProof/>
        </w:rPr>
        <w:t>7. Application, exceptions et suivi</w:t>
      </w:r>
      <w:r>
        <w:rPr>
          <w:noProof/>
        </w:rPr>
        <w:tab/>
      </w:r>
      <w:r>
        <w:rPr>
          <w:noProof/>
        </w:rPr>
        <w:fldChar w:fldCharType="begin"/>
      </w:r>
      <w:r>
        <w:rPr>
          <w:noProof/>
        </w:rPr>
        <w:instrText xml:space="preserve"> PAGEREF _Toc240702665 \h </w:instrText>
      </w:r>
      <w:r>
        <w:rPr>
          <w:noProof/>
        </w:rPr>
      </w:r>
      <w:r>
        <w:rPr>
          <w:noProof/>
        </w:rPr>
        <w:fldChar w:fldCharType="separate"/>
      </w:r>
      <w:r>
        <w:rPr>
          <w:noProof/>
        </w:rPr>
        <w:t>8</w:t>
      </w:r>
      <w:r>
        <w:rPr>
          <w:noProof/>
        </w:rPr>
        <w:fldChar w:fldCharType="end"/>
      </w:r>
    </w:p>
    <w:p w:rsidR="003C36B5" w:rsidRDefault="003C36B5">
      <w:pPr>
        <w:pStyle w:val="TM1"/>
        <w:tabs>
          <w:tab w:val="right" w:leader="dot" w:pos="9962"/>
        </w:tabs>
        <w:rPr>
          <w:noProof/>
        </w:rPr>
      </w:pPr>
      <w:r>
        <w:rPr>
          <w:noProof/>
        </w:rPr>
        <w:t>Partie 3 — Organisation &amp; rôles</w:t>
      </w:r>
      <w:r>
        <w:rPr>
          <w:noProof/>
        </w:rPr>
        <w:tab/>
      </w:r>
      <w:r>
        <w:rPr>
          <w:noProof/>
        </w:rPr>
        <w:fldChar w:fldCharType="begin"/>
      </w:r>
      <w:r>
        <w:rPr>
          <w:noProof/>
        </w:rPr>
        <w:instrText xml:space="preserve"> PAGEREF _Toc240702666 \h </w:instrText>
      </w:r>
      <w:r>
        <w:rPr>
          <w:noProof/>
        </w:rPr>
      </w:r>
      <w:r>
        <w:rPr>
          <w:noProof/>
        </w:rPr>
        <w:fldChar w:fldCharType="separate"/>
      </w:r>
      <w:r>
        <w:rPr>
          <w:noProof/>
        </w:rPr>
        <w:t>9</w:t>
      </w:r>
      <w:r>
        <w:rPr>
          <w:noProof/>
        </w:rPr>
        <w:fldChar w:fldCharType="end"/>
      </w:r>
    </w:p>
    <w:p w:rsidR="003C36B5" w:rsidRDefault="003C36B5">
      <w:pPr>
        <w:pStyle w:val="TM1"/>
        <w:tabs>
          <w:tab w:val="right" w:leader="dot" w:pos="9962"/>
        </w:tabs>
        <w:rPr>
          <w:noProof/>
        </w:rPr>
      </w:pPr>
      <w:r>
        <w:rPr>
          <w:noProof/>
        </w:rPr>
        <w:t>Partie 4 — Implementation Plan &amp; pilote</w:t>
      </w:r>
      <w:r>
        <w:rPr>
          <w:noProof/>
        </w:rPr>
        <w:tab/>
      </w:r>
      <w:r>
        <w:rPr>
          <w:noProof/>
        </w:rPr>
        <w:fldChar w:fldCharType="begin"/>
      </w:r>
      <w:r>
        <w:rPr>
          <w:noProof/>
        </w:rPr>
        <w:instrText xml:space="preserve"> PAGEREF _Toc240702667 \h </w:instrText>
      </w:r>
      <w:r>
        <w:rPr>
          <w:noProof/>
        </w:rPr>
      </w:r>
      <w:r>
        <w:rPr>
          <w:noProof/>
        </w:rPr>
        <w:fldChar w:fldCharType="separate"/>
      </w:r>
      <w:r>
        <w:rPr>
          <w:noProof/>
        </w:rPr>
        <w:t>10</w:t>
      </w:r>
      <w:r>
        <w:rPr>
          <w:noProof/>
        </w:rPr>
        <w:fldChar w:fldCharType="end"/>
      </w:r>
    </w:p>
    <w:p w:rsidR="003C36B5" w:rsidRDefault="003C36B5">
      <w:pPr>
        <w:pStyle w:val="TM2"/>
        <w:tabs>
          <w:tab w:val="right" w:leader="dot" w:pos="9962"/>
        </w:tabs>
        <w:rPr>
          <w:noProof/>
        </w:rPr>
      </w:pPr>
      <w:r>
        <w:rPr>
          <w:noProof/>
        </w:rPr>
        <w:t>1. Modèle organisationnel : Centre of Excellence (CoE)</w:t>
      </w:r>
      <w:r>
        <w:rPr>
          <w:noProof/>
        </w:rPr>
        <w:tab/>
      </w:r>
      <w:r>
        <w:rPr>
          <w:noProof/>
        </w:rPr>
        <w:fldChar w:fldCharType="begin"/>
      </w:r>
      <w:r>
        <w:rPr>
          <w:noProof/>
        </w:rPr>
        <w:instrText xml:space="preserve"> PAGEREF _Toc240702668 \h </w:instrText>
      </w:r>
      <w:r>
        <w:rPr>
          <w:noProof/>
        </w:rPr>
      </w:r>
      <w:r>
        <w:rPr>
          <w:noProof/>
        </w:rPr>
        <w:fldChar w:fldCharType="separate"/>
      </w:r>
      <w:r>
        <w:rPr>
          <w:noProof/>
        </w:rPr>
        <w:t>10</w:t>
      </w:r>
      <w:r>
        <w:rPr>
          <w:noProof/>
        </w:rPr>
        <w:fldChar w:fldCharType="end"/>
      </w:r>
    </w:p>
    <w:p w:rsidR="003C36B5" w:rsidRDefault="003C36B5">
      <w:pPr>
        <w:pStyle w:val="TM2"/>
        <w:tabs>
          <w:tab w:val="right" w:leader="dot" w:pos="9962"/>
        </w:tabs>
        <w:rPr>
          <w:noProof/>
        </w:rPr>
      </w:pPr>
      <w:r>
        <w:rPr>
          <w:noProof/>
        </w:rPr>
        <w:t>2. Stack technologique</w:t>
      </w:r>
      <w:r>
        <w:rPr>
          <w:noProof/>
        </w:rPr>
        <w:tab/>
      </w:r>
      <w:r>
        <w:rPr>
          <w:noProof/>
        </w:rPr>
        <w:fldChar w:fldCharType="begin"/>
      </w:r>
      <w:r>
        <w:rPr>
          <w:noProof/>
        </w:rPr>
        <w:instrText xml:space="preserve"> PAGEREF _Toc240702669 \h </w:instrText>
      </w:r>
      <w:r>
        <w:rPr>
          <w:noProof/>
        </w:rPr>
      </w:r>
      <w:r>
        <w:rPr>
          <w:noProof/>
        </w:rPr>
        <w:fldChar w:fldCharType="separate"/>
      </w:r>
      <w:r>
        <w:rPr>
          <w:noProof/>
        </w:rPr>
        <w:t>10</w:t>
      </w:r>
      <w:r>
        <w:rPr>
          <w:noProof/>
        </w:rPr>
        <w:fldChar w:fldCharType="end"/>
      </w:r>
    </w:p>
    <w:p w:rsidR="003C36B5" w:rsidRDefault="003C36B5">
      <w:pPr>
        <w:pStyle w:val="TM2"/>
        <w:tabs>
          <w:tab w:val="right" w:leader="dot" w:pos="9962"/>
        </w:tabs>
        <w:rPr>
          <w:noProof/>
        </w:rPr>
      </w:pPr>
      <w:r>
        <w:rPr>
          <w:noProof/>
        </w:rPr>
        <w:t>3. Plan en 4 phases (18 mois)</w:t>
      </w:r>
      <w:r>
        <w:rPr>
          <w:noProof/>
        </w:rPr>
        <w:tab/>
      </w:r>
      <w:r>
        <w:rPr>
          <w:noProof/>
        </w:rPr>
        <w:fldChar w:fldCharType="begin"/>
      </w:r>
      <w:r>
        <w:rPr>
          <w:noProof/>
        </w:rPr>
        <w:instrText xml:space="preserve"> PAGEREF _Toc240702670 \h </w:instrText>
      </w:r>
      <w:r>
        <w:rPr>
          <w:noProof/>
        </w:rPr>
      </w:r>
      <w:r>
        <w:rPr>
          <w:noProof/>
        </w:rPr>
        <w:fldChar w:fldCharType="separate"/>
      </w:r>
      <w:r>
        <w:rPr>
          <w:noProof/>
        </w:rPr>
        <w:t>10</w:t>
      </w:r>
      <w:r>
        <w:rPr>
          <w:noProof/>
        </w:rPr>
        <w:fldChar w:fldCharType="end"/>
      </w:r>
    </w:p>
    <w:p w:rsidR="003C36B5" w:rsidRDefault="003C36B5">
      <w:pPr>
        <w:pStyle w:val="TM2"/>
        <w:tabs>
          <w:tab w:val="right" w:leader="dot" w:pos="9962"/>
        </w:tabs>
        <w:rPr>
          <w:noProof/>
        </w:rPr>
      </w:pPr>
      <w:r>
        <w:rPr>
          <w:noProof/>
        </w:rPr>
        <w:t>4. Pilote User Data (Pilot Implementation Template)</w:t>
      </w:r>
      <w:r>
        <w:rPr>
          <w:noProof/>
        </w:rPr>
        <w:tab/>
      </w:r>
      <w:r>
        <w:rPr>
          <w:noProof/>
        </w:rPr>
        <w:fldChar w:fldCharType="begin"/>
      </w:r>
      <w:r>
        <w:rPr>
          <w:noProof/>
        </w:rPr>
        <w:instrText xml:space="preserve"> PAGEREF _Toc240702671 \h </w:instrText>
      </w:r>
      <w:r>
        <w:rPr>
          <w:noProof/>
        </w:rPr>
      </w:r>
      <w:r>
        <w:rPr>
          <w:noProof/>
        </w:rPr>
        <w:fldChar w:fldCharType="separate"/>
      </w:r>
      <w:r>
        <w:rPr>
          <w:noProof/>
        </w:rPr>
        <w:t>11</w:t>
      </w:r>
      <w:r>
        <w:rPr>
          <w:noProof/>
        </w:rPr>
        <w:fldChar w:fldCharType="end"/>
      </w:r>
    </w:p>
    <w:p w:rsidR="003C36B5" w:rsidRDefault="003C36B5">
      <w:pPr>
        <w:pStyle w:val="TM2"/>
        <w:tabs>
          <w:tab w:val="right" w:leader="dot" w:pos="9962"/>
        </w:tabs>
        <w:rPr>
          <w:noProof/>
        </w:rPr>
      </w:pPr>
      <w:r>
        <w:rPr>
          <w:noProof/>
        </w:rPr>
        <w:t>5. Ressources et budget (ordres de grandeur, hypothèses à affiner en phase 1)</w:t>
      </w:r>
      <w:r>
        <w:rPr>
          <w:noProof/>
        </w:rPr>
        <w:tab/>
      </w:r>
      <w:r>
        <w:rPr>
          <w:noProof/>
        </w:rPr>
        <w:fldChar w:fldCharType="begin"/>
      </w:r>
      <w:r>
        <w:rPr>
          <w:noProof/>
        </w:rPr>
        <w:instrText xml:space="preserve"> PAGEREF _Toc240702672 \h </w:instrText>
      </w:r>
      <w:r>
        <w:rPr>
          <w:noProof/>
        </w:rPr>
      </w:r>
      <w:r>
        <w:rPr>
          <w:noProof/>
        </w:rPr>
        <w:fldChar w:fldCharType="separate"/>
      </w:r>
      <w:r>
        <w:rPr>
          <w:noProof/>
        </w:rPr>
        <w:t>12</w:t>
      </w:r>
      <w:r>
        <w:rPr>
          <w:noProof/>
        </w:rPr>
        <w:fldChar w:fldCharType="end"/>
      </w:r>
    </w:p>
    <w:p w:rsidR="003C36B5" w:rsidRDefault="003C36B5">
      <w:pPr>
        <w:pStyle w:val="TM2"/>
        <w:tabs>
          <w:tab w:val="right" w:leader="dot" w:pos="9962"/>
        </w:tabs>
        <w:rPr>
          <w:noProof/>
        </w:rPr>
      </w:pPr>
      <w:r>
        <w:rPr>
          <w:noProof/>
        </w:rPr>
        <w:t>6. KPIs de suivi du programme</w:t>
      </w:r>
      <w:r>
        <w:rPr>
          <w:noProof/>
        </w:rPr>
        <w:tab/>
      </w:r>
      <w:r>
        <w:rPr>
          <w:noProof/>
        </w:rPr>
        <w:fldChar w:fldCharType="begin"/>
      </w:r>
      <w:r>
        <w:rPr>
          <w:noProof/>
        </w:rPr>
        <w:instrText xml:space="preserve"> PAGEREF _Toc240702673 \h </w:instrText>
      </w:r>
      <w:r>
        <w:rPr>
          <w:noProof/>
        </w:rPr>
      </w:r>
      <w:r>
        <w:rPr>
          <w:noProof/>
        </w:rPr>
        <w:fldChar w:fldCharType="separate"/>
      </w:r>
      <w:r>
        <w:rPr>
          <w:noProof/>
        </w:rPr>
        <w:t>12</w:t>
      </w:r>
      <w:r>
        <w:rPr>
          <w:noProof/>
        </w:rPr>
        <w:fldChar w:fldCharType="end"/>
      </w:r>
    </w:p>
    <w:p w:rsidR="003C36B5" w:rsidRDefault="003C36B5">
      <w:pPr>
        <w:pStyle w:val="TM1"/>
        <w:tabs>
          <w:tab w:val="right" w:leader="dot" w:pos="9962"/>
        </w:tabs>
        <w:rPr>
          <w:noProof/>
        </w:rPr>
      </w:pPr>
      <w:r>
        <w:rPr>
          <w:noProof/>
        </w:rPr>
        <w:t>Annexe A — Compliance Checklist (GDPR · CCPA/CPRA · PCI-DSS)</w:t>
      </w:r>
      <w:r>
        <w:rPr>
          <w:noProof/>
        </w:rPr>
        <w:tab/>
      </w:r>
      <w:r>
        <w:rPr>
          <w:noProof/>
        </w:rPr>
        <w:fldChar w:fldCharType="begin"/>
      </w:r>
      <w:r>
        <w:rPr>
          <w:noProof/>
        </w:rPr>
        <w:instrText xml:space="preserve"> PAGEREF _Toc240702674 \h </w:instrText>
      </w:r>
      <w:r>
        <w:rPr>
          <w:noProof/>
        </w:rPr>
      </w:r>
      <w:r>
        <w:rPr>
          <w:noProof/>
        </w:rPr>
        <w:fldChar w:fldCharType="separate"/>
      </w:r>
      <w:r>
        <w:rPr>
          <w:noProof/>
        </w:rPr>
        <w:t>13</w:t>
      </w:r>
      <w:r>
        <w:rPr>
          <w:noProof/>
        </w:rPr>
        <w:fldChar w:fldCharType="end"/>
      </w:r>
    </w:p>
    <w:p w:rsidR="003C36B5" w:rsidRDefault="003C36B5">
      <w:pPr>
        <w:pStyle w:val="TM1"/>
        <w:tabs>
          <w:tab w:val="right" w:leader="dot" w:pos="9962"/>
        </w:tabs>
        <w:rPr>
          <w:noProof/>
        </w:rPr>
      </w:pPr>
      <w:r>
        <w:rPr>
          <w:noProof/>
        </w:rPr>
        <w:t>Annexe B — Sources et hypothèses</w:t>
      </w:r>
      <w:r>
        <w:rPr>
          <w:noProof/>
        </w:rPr>
        <w:tab/>
      </w:r>
      <w:r>
        <w:rPr>
          <w:noProof/>
        </w:rPr>
        <w:fldChar w:fldCharType="begin"/>
      </w:r>
      <w:r>
        <w:rPr>
          <w:noProof/>
        </w:rPr>
        <w:instrText xml:space="preserve"> PAGEREF _Toc240702675 \h </w:instrText>
      </w:r>
      <w:r>
        <w:rPr>
          <w:noProof/>
        </w:rPr>
      </w:r>
      <w:r>
        <w:rPr>
          <w:noProof/>
        </w:rPr>
        <w:fldChar w:fldCharType="separate"/>
      </w:r>
      <w:r>
        <w:rPr>
          <w:noProof/>
        </w:rPr>
        <w:t>15</w:t>
      </w:r>
      <w:r>
        <w:rPr>
          <w:noProof/>
        </w:rPr>
        <w:fldChar w:fldCharType="end"/>
      </w:r>
    </w:p>
    <w:p w:rsidR="00ED107C" w:rsidRDefault="003C36B5">
      <w:r>
        <w:fldChar w:fldCharType="end"/>
      </w:r>
      <w:r>
        <w:br w:type="page"/>
      </w:r>
    </w:p>
    <w:p w:rsidR="00ED107C" w:rsidRDefault="003C36B5">
      <w:pPr>
        <w:pStyle w:val="Titre1"/>
      </w:pPr>
      <w:bookmarkStart w:id="1" w:name="synthèse-exécutive"/>
      <w:bookmarkStart w:id="2" w:name="_Toc240702652"/>
      <w:r>
        <w:lastRenderedPageBreak/>
        <w:t>Synthèse exécutive</w:t>
      </w:r>
      <w:bookmarkEnd w:id="2"/>
    </w:p>
    <w:p w:rsidR="00ED107C" w:rsidRDefault="003C36B5">
      <w:pPr>
        <w:pStyle w:val="FirstParagraph"/>
      </w:pPr>
      <w:r>
        <w:rPr>
          <w:b/>
          <w:bCs/>
        </w:rPr>
        <w:t>Le constat.</w:t>
      </w:r>
      <w:r>
        <w:t xml:space="preserve"> </w:t>
      </w:r>
      <w:r>
        <w:t>Spotify est un leader technologique — architecture et analytics au niveau 5 sur 5 — sans gouvernance transverse des données : pas de Chief Data Officer, pas d’ownership par domaine, des définitions de métriques qui divergent entre Marketing, Product, Engin</w:t>
      </w:r>
      <w:r>
        <w:t xml:space="preserve">eering et Content. Score de maturité global : </w:t>
      </w:r>
      <w:r>
        <w:rPr>
          <w:b/>
          <w:bCs/>
        </w:rPr>
        <w:t>3,4 / 5</w:t>
      </w:r>
      <w:r>
        <w:t xml:space="preserve">, avec la dimension Data Governance à </w:t>
      </w:r>
      <w:r>
        <w:rPr>
          <w:b/>
          <w:bCs/>
        </w:rPr>
        <w:t>2</w:t>
      </w:r>
      <w:r>
        <w:t xml:space="preserve">. Le risque n’est pas théorique : en juin 2023, l’autorité suédoise (IMY) a sanctionné Spotify de </w:t>
      </w:r>
      <w:r>
        <w:rPr>
          <w:b/>
          <w:bCs/>
        </w:rPr>
        <w:t>58 M SEK (≈ 5 M€)</w:t>
      </w:r>
      <w:r>
        <w:t xml:space="preserve"> pour un droit d’accès GDPR insuffisamment clair </w:t>
      </w:r>
      <w:r>
        <w:t xml:space="preserve">— une défaillance de gouvernance, pas d’infrastructure. L’exposition maximale GDPR représente 4 % du CA mondial, soit </w:t>
      </w:r>
      <w:r>
        <w:rPr>
          <w:b/>
          <w:bCs/>
        </w:rPr>
        <w:t>≈ 530 M€</w:t>
      </w:r>
      <w:r>
        <w:t xml:space="preserve"> sur le CA 2023.</w:t>
      </w:r>
    </w:p>
    <w:p w:rsidR="00ED107C" w:rsidRDefault="003C36B5">
      <w:pPr>
        <w:pStyle w:val="Corpsdetexte"/>
      </w:pPr>
      <w:r>
        <w:rPr>
          <w:b/>
          <w:bCs/>
        </w:rPr>
        <w:t>Le framework.</w:t>
      </w:r>
      <w:r>
        <w:t xml:space="preserve"> Une Data Governance Policy de trois pages fondée sur les neuf principes du Governance Principles Gu</w:t>
      </w:r>
      <w:r>
        <w:t xml:space="preserve">ide, structurée en trois piliers : qualité et accessibilité (cinq domaines de données, un Data Steward chacun, quatre critères mesurés, un catalogue unique) ; conformité et sécurité (base légale documentée par finalité, sept droits des personnes couverts, </w:t>
      </w:r>
      <w:r>
        <w:t>DPIA, classification en quatre niveaux, durées de conservation) ; culture et éthique (formation par rôle, audit trimestriel des biais de recommandation, interdiction de profiler sur des catégories sensibles inférées).</w:t>
      </w:r>
    </w:p>
    <w:p w:rsidR="00ED107C" w:rsidRDefault="003C36B5">
      <w:pPr>
        <w:pStyle w:val="Corpsdetexte"/>
      </w:pPr>
      <w:r>
        <w:rPr>
          <w:b/>
          <w:bCs/>
        </w:rPr>
        <w:t>L’organisation.</w:t>
      </w:r>
      <w:r>
        <w:t xml:space="preserve"> Un </w:t>
      </w:r>
      <w:r>
        <w:rPr>
          <w:b/>
          <w:bCs/>
        </w:rPr>
        <w:t>Centre of Excellenc</w:t>
      </w:r>
      <w:r>
        <w:rPr>
          <w:b/>
          <w:bCs/>
        </w:rPr>
        <w:t>e</w:t>
      </w:r>
      <w:r>
        <w:t xml:space="preserve"> sous le CDO, avec cinq Data Stewards relais dans les business units, un DPO indépendant et sa Privacy Team, et un Data Governance Committee mensuel. La gouvernance définit et audite ; l’engineering, sous le CTO, implémente.</w:t>
      </w:r>
    </w:p>
    <w:p w:rsidR="00ED107C" w:rsidRDefault="003C36B5">
      <w:pPr>
        <w:pStyle w:val="Corpsdetexte"/>
      </w:pPr>
      <w:r>
        <w:rPr>
          <w:b/>
          <w:bCs/>
        </w:rPr>
        <w:t>Le plan.</w:t>
      </w:r>
      <w:r>
        <w:t xml:space="preserve"> Quatre phases sur 18 </w:t>
      </w:r>
      <w:r>
        <w:t xml:space="preserve">mois : fondations (M1-M2), </w:t>
      </w:r>
      <w:r>
        <w:rPr>
          <w:b/>
          <w:bCs/>
        </w:rPr>
        <w:t>pilote User Data sur les marchés UE (M3-M6)</w:t>
      </w:r>
      <w:r>
        <w:t xml:space="preserve"> avec Go/No-Go du Committee, généralisation aux quatre autres domaines (M7-M12), industrialisation (M13-M18). Un outil par besoin, en s’appuyant sur l’existant (GCP, Airflow, catalogue L</w:t>
      </w:r>
      <w:r>
        <w:t xml:space="preserve">exikon). Cible de maturité à 12 mois : </w:t>
      </w:r>
      <w:r>
        <w:rPr>
          <w:b/>
          <w:bCs/>
        </w:rPr>
        <w:t>4,2 / 5</w:t>
      </w:r>
      <w:r>
        <w:t>.</w:t>
      </w:r>
    </w:p>
    <w:p w:rsidR="00ED107C" w:rsidRDefault="003C36B5">
      <w:pPr>
        <w:pStyle w:val="Corpsdetexte"/>
      </w:pPr>
      <w:r>
        <w:rPr>
          <w:b/>
          <w:bCs/>
        </w:rPr>
        <w:t>L’impact.</w:t>
      </w:r>
      <w:r>
        <w:t xml:space="preserve"> Programme estimé à </w:t>
      </w:r>
      <w:r>
        <w:rPr>
          <w:b/>
          <w:bCs/>
        </w:rPr>
        <w:t>6-7 M€ sur 18 mois</w:t>
      </w:r>
      <w:r>
        <w:t xml:space="preserve"> (ordres de grandeur, hypothèses à affiner en phase 1), soit environ 1 % de l’exposition maximale et à peine plus que la sanction déjà subie ; gains d’efficacité</w:t>
      </w:r>
      <w:r>
        <w:t xml:space="preserve"> estimés à ≈ 3 M€/an sur le seul accès aux données. </w:t>
      </w:r>
      <w:r>
        <w:rPr>
          <w:b/>
          <w:bCs/>
        </w:rPr>
        <w:t>Trois décisions demandées au comité exécutif</w:t>
      </w:r>
      <w:r>
        <w:t xml:space="preserve"> : nommer le CDO sous 30 jours, approuver le budget des phases 1-2 (≈ 2,5 M€), lancer la communication interne en M1.</w:t>
      </w:r>
    </w:p>
    <w:p w:rsidR="00ED107C" w:rsidRDefault="003C36B5">
      <w:pPr>
        <w:pStyle w:val="Titre1"/>
      </w:pPr>
      <w:bookmarkStart w:id="3" w:name="partie-1-data-maturity-assessment"/>
      <w:bookmarkStart w:id="4" w:name="_Toc240702653"/>
      <w:bookmarkEnd w:id="1"/>
      <w:r>
        <w:lastRenderedPageBreak/>
        <w:t>Partie 1 — Data Maturity Assessment</w:t>
      </w:r>
      <w:bookmarkEnd w:id="4"/>
    </w:p>
    <w:p w:rsidR="00ED107C" w:rsidRDefault="003C36B5">
      <w:pPr>
        <w:pStyle w:val="FirstParagraph"/>
      </w:pPr>
      <w:r>
        <w:rPr>
          <w:b/>
          <w:bCs/>
        </w:rPr>
        <w:t>Périmè</w:t>
      </w:r>
      <w:r>
        <w:rPr>
          <w:b/>
          <w:bCs/>
        </w:rPr>
        <w:t>tre</w:t>
      </w:r>
      <w:r>
        <w:t xml:space="preserve"> : opérations data globales de Spotify (450 M d’utilisateurs actifs, 200 M d’abonnés premium, 180+ pays). </w:t>
      </w:r>
      <w:r>
        <w:rPr>
          <w:b/>
          <w:bCs/>
        </w:rPr>
        <w:t>Méthode</w:t>
      </w:r>
      <w:r>
        <w:t xml:space="preserve"> : Data Maturity Assessment Template (9 dimensions, échelle 1-5) + analyse du business case.</w:t>
      </w:r>
    </w:p>
    <w:p w:rsidR="00ED107C" w:rsidRDefault="003C36B5">
      <w:pPr>
        <w:pStyle w:val="Normalcentr"/>
      </w:pPr>
      <w:r>
        <w:rPr>
          <w:b/>
          <w:bCs/>
        </w:rPr>
        <w:t>Hypothèses de travail.</w:t>
      </w:r>
      <w:r>
        <w:t xml:space="preserve"> Ce rapport est réalisé s</w:t>
      </w:r>
      <w:r>
        <w:t>ans accès aux données internes de Spotify. Les éléments suivants sont des hypothèses fondées sur des sources publiques (blog Spotify Engineering, rapports annuels, décision IMY 2023) et devront être validés en phase 1 du plan d’implémentation : infrastruct</w:t>
      </w:r>
      <w:r>
        <w:t>ure GCP/BigQuery (migration publique depuis 2016), catalogue interne Lexikon, existence d’un DPO, délégation des paiements à un prestataire certifié PCI-DSS, part de métadonnées de contenu incomplètes.</w:t>
      </w:r>
    </w:p>
    <w:p w:rsidR="00ED107C" w:rsidRDefault="003C36B5">
      <w:pPr>
        <w:pStyle w:val="Titre2"/>
      </w:pPr>
      <w:bookmarkStart w:id="5" w:name="verdict-global-34-5-proactive-incomplet"/>
      <w:bookmarkStart w:id="6" w:name="_Toc240702654"/>
      <w:r>
        <w:t>1. Verdict global : 3,4 / 5 — « Proactive » incomplet</w:t>
      </w:r>
      <w:bookmarkEnd w:id="6"/>
    </w:p>
    <w:p w:rsidR="00ED107C" w:rsidRDefault="003C36B5">
      <w:pPr>
        <w:pStyle w:val="FirstParagraph"/>
      </w:pPr>
      <w:r>
        <w:t xml:space="preserve">Sur l’échelle du cours (Aware → Reactive → Managed → </w:t>
      </w:r>
      <w:r>
        <w:rPr>
          <w:b/>
          <w:bCs/>
        </w:rPr>
        <w:t>Proactive</w:t>
      </w:r>
      <w:r>
        <w:t xml:space="preserve"> → Effective), Spotify se situe entre </w:t>
      </w:r>
      <w:r>
        <w:rPr>
          <w:b/>
          <w:bCs/>
        </w:rPr>
        <w:t>Managed</w:t>
      </w:r>
      <w:r>
        <w:t xml:space="preserve"> et </w:t>
      </w:r>
      <w:r>
        <w:rPr>
          <w:b/>
          <w:bCs/>
        </w:rPr>
        <w:t>Proactive</w:t>
      </w:r>
      <w:r>
        <w:t xml:space="preserve"> : les processus data existent et l’infrastructure est de niveau « Effective », mais la gouvernance formelle, la conformité multi-juridi</w:t>
      </w:r>
      <w:r>
        <w:t xml:space="preserve">ctions et la data literacy hors équipes techniques restent en retrait. La moyenne des 9 dimensions est de </w:t>
      </w:r>
      <w:r>
        <w:rPr>
          <w:b/>
          <w:bCs/>
        </w:rPr>
        <w:t>3,4 / 5</w:t>
      </w:r>
      <w:r>
        <w:t>.</w:t>
      </w:r>
    </w:p>
    <w:p w:rsidR="00ED107C" w:rsidRDefault="003C36B5">
      <w:pPr>
        <w:pStyle w:val="Corpsdetexte"/>
      </w:pPr>
      <w:r>
        <w:t xml:space="preserve">Le signal le plus concret : en juin 2023, l’autorité suédoise (IMY) a sanctionné Spotify de </w:t>
      </w:r>
      <w:r>
        <w:rPr>
          <w:b/>
          <w:bCs/>
        </w:rPr>
        <w:t>58 M SEK (≈ 5 M€)</w:t>
      </w:r>
      <w:r>
        <w:t xml:space="preserve"> pour un droit d’accès GDPR insu</w:t>
      </w:r>
      <w:r>
        <w:t>ffisamment clair — une défaillance de gouvernance (information sur les durées de conservation et les transferts), pas d’infrastructure.</w:t>
      </w:r>
    </w:p>
    <w:p w:rsidR="00ED107C" w:rsidRDefault="003C36B5">
      <w:pPr>
        <w:pStyle w:val="Titre2"/>
      </w:pPr>
      <w:bookmarkStart w:id="7" w:name="évaluation-par-dimension"/>
      <w:bookmarkStart w:id="8" w:name="_Toc240702655"/>
      <w:bookmarkEnd w:id="5"/>
      <w:r>
        <w:t>2. Évaluation par dimension</w:t>
      </w:r>
      <w:bookmarkEnd w:id="8"/>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425"/>
        <w:gridCol w:w="713"/>
        <w:gridCol w:w="713"/>
        <w:gridCol w:w="2242"/>
        <w:gridCol w:w="2853"/>
        <w:gridCol w:w="2242"/>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1108"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Dimension</w:t>
            </w:r>
          </w:p>
        </w:tc>
        <w:tc>
          <w:tcPr>
            <w:tcW w:w="554" w:type="dxa"/>
            <w:tcBorders>
              <w:bottom w:val="none" w:sz="0" w:space="0" w:color="auto"/>
            </w:tcBorders>
            <w:shd w:val="clear" w:color="auto" w:fill="EFEFEF"/>
          </w:tcPr>
          <w:p w:rsidR="00ED107C" w:rsidRPr="003C36B5" w:rsidRDefault="003C36B5" w:rsidP="003C36B5">
            <w:pPr>
              <w:pStyle w:val="Compact"/>
              <w:spacing w:before="20" w:after="20"/>
              <w:jc w:val="center"/>
              <w:rPr>
                <w:b/>
                <w:sz w:val="16"/>
              </w:rPr>
            </w:pPr>
            <w:r w:rsidRPr="003C36B5">
              <w:rPr>
                <w:b/>
                <w:sz w:val="16"/>
              </w:rPr>
              <w:t>Actuel</w:t>
            </w:r>
          </w:p>
        </w:tc>
        <w:tc>
          <w:tcPr>
            <w:tcW w:w="554" w:type="dxa"/>
            <w:tcBorders>
              <w:bottom w:val="none" w:sz="0" w:space="0" w:color="auto"/>
            </w:tcBorders>
            <w:shd w:val="clear" w:color="auto" w:fill="EFEFEF"/>
          </w:tcPr>
          <w:p w:rsidR="00ED107C" w:rsidRPr="003C36B5" w:rsidRDefault="003C36B5" w:rsidP="003C36B5">
            <w:pPr>
              <w:pStyle w:val="Compact"/>
              <w:spacing w:before="20" w:after="20"/>
              <w:jc w:val="center"/>
              <w:rPr>
                <w:b/>
                <w:sz w:val="16"/>
              </w:rPr>
            </w:pPr>
            <w:r w:rsidRPr="003C36B5">
              <w:rPr>
                <w:b/>
                <w:sz w:val="16"/>
              </w:rPr>
              <w:t>Cible M12</w:t>
            </w:r>
          </w:p>
        </w:tc>
        <w:tc>
          <w:tcPr>
            <w:tcW w:w="1742"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Forces</w:t>
            </w:r>
          </w:p>
        </w:tc>
        <w:tc>
          <w:tcPr>
            <w:tcW w:w="2217"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Faiblesses</w:t>
            </w:r>
          </w:p>
        </w:tc>
        <w:tc>
          <w:tcPr>
            <w:tcW w:w="1742"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Plan d’action</w:t>
            </w:r>
          </w:p>
        </w:tc>
      </w:tr>
      <w:tr w:rsidR="00ED107C" w:rsidRPr="003C36B5" w:rsidTr="003C36B5">
        <w:tc>
          <w:tcPr>
            <w:tcW w:w="1108" w:type="dxa"/>
            <w:shd w:val="clear" w:color="auto" w:fill="auto"/>
          </w:tcPr>
          <w:p w:rsidR="00ED107C" w:rsidRPr="003C36B5" w:rsidRDefault="003C36B5" w:rsidP="003C36B5">
            <w:pPr>
              <w:pStyle w:val="Compact"/>
              <w:spacing w:before="20" w:after="20"/>
              <w:rPr>
                <w:sz w:val="16"/>
              </w:rPr>
            </w:pPr>
            <w:r w:rsidRPr="003C36B5">
              <w:rPr>
                <w:b/>
                <w:bCs/>
                <w:sz w:val="16"/>
              </w:rPr>
              <w:t>Data Governance</w:t>
            </w:r>
          </w:p>
        </w:tc>
        <w:tc>
          <w:tcPr>
            <w:tcW w:w="554" w:type="dxa"/>
            <w:shd w:val="clear" w:color="auto" w:fill="auto"/>
          </w:tcPr>
          <w:p w:rsidR="00ED107C" w:rsidRPr="003C36B5" w:rsidRDefault="003C36B5" w:rsidP="003C36B5">
            <w:pPr>
              <w:pStyle w:val="Compact"/>
              <w:spacing w:before="20" w:after="20"/>
              <w:jc w:val="center"/>
              <w:rPr>
                <w:sz w:val="16"/>
              </w:rPr>
            </w:pPr>
            <w:r w:rsidRPr="003C36B5">
              <w:rPr>
                <w:b/>
                <w:bCs/>
                <w:sz w:val="16"/>
              </w:rPr>
              <w:t>2</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4</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Besoin identifié, DPO en place (hyp.)</w:t>
            </w:r>
          </w:p>
        </w:tc>
        <w:tc>
          <w:tcPr>
            <w:tcW w:w="2217" w:type="dxa"/>
            <w:shd w:val="clear" w:color="auto" w:fill="auto"/>
          </w:tcPr>
          <w:p w:rsidR="00ED107C" w:rsidRPr="003C36B5" w:rsidRDefault="003C36B5" w:rsidP="003C36B5">
            <w:pPr>
              <w:pStyle w:val="Compact"/>
              <w:spacing w:before="20" w:after="20"/>
              <w:rPr>
                <w:sz w:val="16"/>
              </w:rPr>
            </w:pPr>
            <w:r w:rsidRPr="003C36B5">
              <w:rPr>
                <w:sz w:val="16"/>
              </w:rPr>
              <w:t>Pas de CDO ni d’équipe transverse ; chaque département gère ses datasets (business case) ; définitions de métriques divergentes</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Nommer un CDO, créer un Centre of Excellence, désigner 5 Data Stewards</w:t>
            </w:r>
          </w:p>
        </w:tc>
      </w:tr>
      <w:tr w:rsidR="00ED107C" w:rsidRPr="003C36B5" w:rsidTr="003C36B5">
        <w:tc>
          <w:tcPr>
            <w:tcW w:w="1108" w:type="dxa"/>
            <w:shd w:val="clear" w:color="auto" w:fill="auto"/>
          </w:tcPr>
          <w:p w:rsidR="00ED107C" w:rsidRPr="003C36B5" w:rsidRDefault="003C36B5" w:rsidP="003C36B5">
            <w:pPr>
              <w:pStyle w:val="Compact"/>
              <w:spacing w:before="20" w:after="20"/>
              <w:rPr>
                <w:sz w:val="16"/>
              </w:rPr>
            </w:pPr>
            <w:r w:rsidRPr="003C36B5">
              <w:rPr>
                <w:b/>
                <w:bCs/>
                <w:sz w:val="16"/>
              </w:rPr>
              <w:t>Data Quality</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3</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4</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V</w:t>
            </w:r>
            <w:r w:rsidRPr="003C36B5">
              <w:rPr>
                <w:sz w:val="16"/>
              </w:rPr>
              <w:t>alidation sur les pipelines critiques (recommandation)</w:t>
            </w:r>
          </w:p>
        </w:tc>
        <w:tc>
          <w:tcPr>
            <w:tcW w:w="2217" w:type="dxa"/>
            <w:shd w:val="clear" w:color="auto" w:fill="auto"/>
          </w:tcPr>
          <w:p w:rsidR="00ED107C" w:rsidRPr="003C36B5" w:rsidRDefault="003C36B5" w:rsidP="003C36B5">
            <w:pPr>
              <w:pStyle w:val="Compact"/>
              <w:spacing w:before="20" w:after="20"/>
              <w:rPr>
                <w:sz w:val="16"/>
              </w:rPr>
            </w:pPr>
            <w:r w:rsidRPr="003C36B5">
              <w:rPr>
                <w:sz w:val="16"/>
              </w:rPr>
              <w:t>Métadonnées de contenu incomplètes côté labels/distributeurs indépendants (hyp.) ; pas de métriques qualité partagées</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Déployer Great Expectations, 4 critères qualité par domaine, baseline mesurée</w:t>
            </w:r>
          </w:p>
        </w:tc>
      </w:tr>
      <w:tr w:rsidR="00ED107C" w:rsidRPr="003C36B5" w:rsidTr="003C36B5">
        <w:tc>
          <w:tcPr>
            <w:tcW w:w="1108" w:type="dxa"/>
            <w:shd w:val="clear" w:color="auto" w:fill="auto"/>
          </w:tcPr>
          <w:p w:rsidR="00ED107C" w:rsidRPr="003C36B5" w:rsidRDefault="003C36B5" w:rsidP="003C36B5">
            <w:pPr>
              <w:pStyle w:val="Compact"/>
              <w:spacing w:before="20" w:after="20"/>
              <w:rPr>
                <w:sz w:val="16"/>
              </w:rPr>
            </w:pPr>
            <w:r w:rsidRPr="003C36B5">
              <w:rPr>
                <w:b/>
                <w:bCs/>
                <w:sz w:val="16"/>
              </w:rPr>
              <w:t>Data</w:t>
            </w:r>
            <w:r w:rsidRPr="003C36B5">
              <w:rPr>
                <w:b/>
                <w:bCs/>
                <w:sz w:val="16"/>
              </w:rPr>
              <w:t xml:space="preserve"> Architecture</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5</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5</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GCP/BigQuery, data lakes, traitement temps réel</w:t>
            </w:r>
          </w:p>
        </w:tc>
        <w:tc>
          <w:tcPr>
            <w:tcW w:w="2217" w:type="dxa"/>
            <w:shd w:val="clear" w:color="auto" w:fill="auto"/>
          </w:tcPr>
          <w:p w:rsidR="00ED107C" w:rsidRPr="003C36B5" w:rsidRDefault="003C36B5" w:rsidP="003C36B5">
            <w:pPr>
              <w:pStyle w:val="Compact"/>
              <w:spacing w:before="20" w:after="20"/>
              <w:rPr>
                <w:sz w:val="16"/>
              </w:rPr>
            </w:pPr>
            <w:r w:rsidRPr="003C36B5">
              <w:rPr>
                <w:sz w:val="16"/>
              </w:rPr>
              <w:t>Systèmes hérités des acquisitions podcast (Anchor, Gimlet, Parcast)</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Standardiser les pipelines des acquisitions</w:t>
            </w:r>
          </w:p>
        </w:tc>
      </w:tr>
      <w:tr w:rsidR="00ED107C" w:rsidRPr="003C36B5" w:rsidTr="003C36B5">
        <w:tc>
          <w:tcPr>
            <w:tcW w:w="1108" w:type="dxa"/>
            <w:shd w:val="clear" w:color="auto" w:fill="auto"/>
          </w:tcPr>
          <w:p w:rsidR="00ED107C" w:rsidRPr="003C36B5" w:rsidRDefault="003C36B5" w:rsidP="003C36B5">
            <w:pPr>
              <w:pStyle w:val="Compact"/>
              <w:spacing w:before="20" w:after="20"/>
              <w:rPr>
                <w:sz w:val="16"/>
              </w:rPr>
            </w:pPr>
            <w:r w:rsidRPr="003C36B5">
              <w:rPr>
                <w:b/>
                <w:bCs/>
                <w:sz w:val="16"/>
              </w:rPr>
              <w:t>Compliance</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3</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4</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DPO, politiques de base, réponse aux demandes utilisateurs</w:t>
            </w:r>
          </w:p>
        </w:tc>
        <w:tc>
          <w:tcPr>
            <w:tcW w:w="2217" w:type="dxa"/>
            <w:shd w:val="clear" w:color="auto" w:fill="auto"/>
          </w:tcPr>
          <w:p w:rsidR="00ED107C" w:rsidRPr="003C36B5" w:rsidRDefault="003C36B5" w:rsidP="003C36B5">
            <w:pPr>
              <w:pStyle w:val="Compact"/>
              <w:spacing w:before="20" w:after="20"/>
              <w:rPr>
                <w:sz w:val="16"/>
              </w:rPr>
            </w:pPr>
            <w:r w:rsidRPr="003C36B5">
              <w:rPr>
                <w:sz w:val="16"/>
              </w:rPr>
              <w:t>Sanction IMY 2023 (droit d’accès) ; pas de DPIA systématique ; effacement non automatisé ; PDPA/LGPD non formalisés</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DPIA obligatoires, pipeline d’effacement &lt; 30 j, OneTrust multi-juridictions</w:t>
            </w:r>
          </w:p>
        </w:tc>
      </w:tr>
      <w:tr w:rsidR="00ED107C" w:rsidRPr="003C36B5" w:rsidTr="003C36B5">
        <w:tc>
          <w:tcPr>
            <w:tcW w:w="1108" w:type="dxa"/>
            <w:shd w:val="clear" w:color="auto" w:fill="auto"/>
          </w:tcPr>
          <w:p w:rsidR="00ED107C" w:rsidRPr="003C36B5" w:rsidRDefault="003C36B5" w:rsidP="003C36B5">
            <w:pPr>
              <w:pStyle w:val="Compact"/>
              <w:spacing w:before="20" w:after="20"/>
              <w:rPr>
                <w:sz w:val="16"/>
              </w:rPr>
            </w:pPr>
            <w:r w:rsidRPr="003C36B5">
              <w:rPr>
                <w:b/>
                <w:bCs/>
                <w:sz w:val="16"/>
              </w:rPr>
              <w:t>Data Usage &amp; Accessibility</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3</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4</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 xml:space="preserve">Culture A/B testing, catalogue </w:t>
            </w:r>
            <w:r w:rsidRPr="003C36B5">
              <w:rPr>
                <w:sz w:val="16"/>
              </w:rPr>
              <w:t>Lexikon (adoption 95 % des data scientists)</w:t>
            </w:r>
          </w:p>
        </w:tc>
        <w:tc>
          <w:tcPr>
            <w:tcW w:w="2217" w:type="dxa"/>
            <w:shd w:val="clear" w:color="auto" w:fill="auto"/>
          </w:tcPr>
          <w:p w:rsidR="00ED107C" w:rsidRPr="003C36B5" w:rsidRDefault="003C36B5" w:rsidP="003C36B5">
            <w:pPr>
              <w:pStyle w:val="Compact"/>
              <w:spacing w:before="20" w:after="20"/>
              <w:rPr>
                <w:sz w:val="16"/>
              </w:rPr>
            </w:pPr>
            <w:r w:rsidRPr="003C36B5">
              <w:rPr>
                <w:sz w:val="16"/>
              </w:rPr>
              <w:t>Silos Marketing / Product / Engineering / Content ; pas de vision unifiée du parcours utilisateur</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Étendre le catalogue à tous les domaines, règles d’accès par classification</w:t>
            </w:r>
          </w:p>
        </w:tc>
      </w:tr>
      <w:tr w:rsidR="00ED107C" w:rsidRPr="003C36B5" w:rsidTr="003C36B5">
        <w:tc>
          <w:tcPr>
            <w:tcW w:w="1108" w:type="dxa"/>
            <w:shd w:val="clear" w:color="auto" w:fill="auto"/>
          </w:tcPr>
          <w:p w:rsidR="00ED107C" w:rsidRPr="003C36B5" w:rsidRDefault="003C36B5" w:rsidP="003C36B5">
            <w:pPr>
              <w:pStyle w:val="Compact"/>
              <w:spacing w:before="20" w:after="20"/>
              <w:rPr>
                <w:sz w:val="16"/>
              </w:rPr>
            </w:pPr>
            <w:r w:rsidRPr="003C36B5">
              <w:rPr>
                <w:b/>
                <w:bCs/>
                <w:sz w:val="16"/>
              </w:rPr>
              <w:t>Data Security</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4</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4</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Chiffrement en transit, contrôle d’accès, paiements délégués (PCI-DSS)</w:t>
            </w:r>
          </w:p>
        </w:tc>
        <w:tc>
          <w:tcPr>
            <w:tcW w:w="2217" w:type="dxa"/>
            <w:shd w:val="clear" w:color="auto" w:fill="auto"/>
          </w:tcPr>
          <w:p w:rsidR="00ED107C" w:rsidRPr="003C36B5" w:rsidRDefault="003C36B5" w:rsidP="003C36B5">
            <w:pPr>
              <w:pStyle w:val="Compact"/>
              <w:spacing w:before="20" w:after="20"/>
              <w:rPr>
                <w:sz w:val="16"/>
              </w:rPr>
            </w:pPr>
            <w:r w:rsidRPr="003C36B5">
              <w:rPr>
                <w:sz w:val="16"/>
              </w:rPr>
              <w:t>Classification des données sensibles incomplète ; pas de SIEM unifié (hyp.)</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Classification 4 niveaux, SIEM Splunk</w:t>
            </w:r>
          </w:p>
        </w:tc>
      </w:tr>
      <w:tr w:rsidR="00ED107C" w:rsidRPr="003C36B5" w:rsidTr="003C36B5">
        <w:tc>
          <w:tcPr>
            <w:tcW w:w="1108" w:type="dxa"/>
            <w:shd w:val="clear" w:color="auto" w:fill="auto"/>
          </w:tcPr>
          <w:p w:rsidR="00ED107C" w:rsidRPr="003C36B5" w:rsidRDefault="003C36B5" w:rsidP="003C36B5">
            <w:pPr>
              <w:pStyle w:val="Compact"/>
              <w:spacing w:before="20" w:after="20"/>
              <w:rPr>
                <w:sz w:val="16"/>
              </w:rPr>
            </w:pPr>
            <w:r w:rsidRPr="003C36B5">
              <w:rPr>
                <w:b/>
                <w:bCs/>
                <w:sz w:val="16"/>
              </w:rPr>
              <w:t>Data Literacy</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3</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4</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Forte dans les squads produit et data</w:t>
            </w:r>
          </w:p>
        </w:tc>
        <w:tc>
          <w:tcPr>
            <w:tcW w:w="2217" w:type="dxa"/>
            <w:shd w:val="clear" w:color="auto" w:fill="auto"/>
          </w:tcPr>
          <w:p w:rsidR="00ED107C" w:rsidRPr="003C36B5" w:rsidRDefault="003C36B5" w:rsidP="003C36B5">
            <w:pPr>
              <w:pStyle w:val="Compact"/>
              <w:spacing w:before="20" w:after="20"/>
              <w:rPr>
                <w:sz w:val="16"/>
              </w:rPr>
            </w:pPr>
            <w:r w:rsidRPr="003C36B5">
              <w:rPr>
                <w:sz w:val="16"/>
              </w:rPr>
              <w:t>Faible maîtris</w:t>
            </w:r>
            <w:r w:rsidRPr="003C36B5">
              <w:rPr>
                <w:sz w:val="16"/>
              </w:rPr>
              <w:t>e des principes de gouvernance et conformité en Marketing, Legal, Content</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Formation par rôle, e-learning obligatoire</w:t>
            </w:r>
          </w:p>
        </w:tc>
      </w:tr>
      <w:tr w:rsidR="00ED107C" w:rsidRPr="003C36B5" w:rsidTr="003C36B5">
        <w:tc>
          <w:tcPr>
            <w:tcW w:w="1108" w:type="dxa"/>
            <w:shd w:val="clear" w:color="auto" w:fill="auto"/>
          </w:tcPr>
          <w:p w:rsidR="00ED107C" w:rsidRPr="003C36B5" w:rsidRDefault="003C36B5" w:rsidP="003C36B5">
            <w:pPr>
              <w:pStyle w:val="Compact"/>
              <w:spacing w:before="20" w:after="20"/>
              <w:rPr>
                <w:sz w:val="16"/>
              </w:rPr>
            </w:pPr>
            <w:r w:rsidRPr="003C36B5">
              <w:rPr>
                <w:b/>
                <w:bCs/>
                <w:sz w:val="16"/>
              </w:rPr>
              <w:t>Data Integration</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3</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4</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Pipelines inter-systèmes opérationnels</w:t>
            </w:r>
          </w:p>
        </w:tc>
        <w:tc>
          <w:tcPr>
            <w:tcW w:w="2217" w:type="dxa"/>
            <w:shd w:val="clear" w:color="auto" w:fill="auto"/>
          </w:tcPr>
          <w:p w:rsidR="00ED107C" w:rsidRPr="003C36B5" w:rsidRDefault="003C36B5" w:rsidP="003C36B5">
            <w:pPr>
              <w:pStyle w:val="Compact"/>
              <w:spacing w:before="20" w:after="20"/>
              <w:rPr>
                <w:sz w:val="16"/>
              </w:rPr>
            </w:pPr>
            <w:r w:rsidRPr="003C36B5">
              <w:rPr>
                <w:sz w:val="16"/>
              </w:rPr>
              <w:t>Intégration incomplète des podcasts ; pas de lineage de bout en bout</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OpenLineage + Marquez, pipelines standardisés</w:t>
            </w:r>
          </w:p>
        </w:tc>
      </w:tr>
      <w:tr w:rsidR="00ED107C" w:rsidRPr="003C36B5" w:rsidTr="003C36B5">
        <w:tc>
          <w:tcPr>
            <w:tcW w:w="1108" w:type="dxa"/>
            <w:shd w:val="clear" w:color="auto" w:fill="auto"/>
          </w:tcPr>
          <w:p w:rsidR="00ED107C" w:rsidRPr="003C36B5" w:rsidRDefault="003C36B5" w:rsidP="003C36B5">
            <w:pPr>
              <w:pStyle w:val="Compact"/>
              <w:spacing w:before="20" w:after="20"/>
              <w:rPr>
                <w:sz w:val="16"/>
              </w:rPr>
            </w:pPr>
            <w:r w:rsidRPr="003C36B5">
              <w:rPr>
                <w:b/>
                <w:bCs/>
                <w:sz w:val="16"/>
              </w:rPr>
              <w:t>Analytics &amp; BI</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5</w:t>
            </w:r>
          </w:p>
        </w:tc>
        <w:tc>
          <w:tcPr>
            <w:tcW w:w="554" w:type="dxa"/>
            <w:shd w:val="clear" w:color="auto" w:fill="auto"/>
          </w:tcPr>
          <w:p w:rsidR="00ED107C" w:rsidRPr="003C36B5" w:rsidRDefault="003C36B5" w:rsidP="003C36B5">
            <w:pPr>
              <w:pStyle w:val="Compact"/>
              <w:spacing w:before="20" w:after="20"/>
              <w:jc w:val="center"/>
              <w:rPr>
                <w:sz w:val="16"/>
              </w:rPr>
            </w:pPr>
            <w:r w:rsidRPr="003C36B5">
              <w:rPr>
                <w:sz w:val="16"/>
              </w:rPr>
              <w:t>5</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Moteur de recommandation ML de référence (Discover Weekly, Daily Mix), A/B testing massif</w:t>
            </w:r>
          </w:p>
        </w:tc>
        <w:tc>
          <w:tcPr>
            <w:tcW w:w="2217" w:type="dxa"/>
            <w:shd w:val="clear" w:color="auto" w:fill="auto"/>
          </w:tcPr>
          <w:p w:rsidR="00ED107C" w:rsidRPr="003C36B5" w:rsidRDefault="003C36B5" w:rsidP="003C36B5">
            <w:pPr>
              <w:pStyle w:val="Compact"/>
              <w:spacing w:before="20" w:after="20"/>
              <w:rPr>
                <w:sz w:val="16"/>
              </w:rPr>
            </w:pPr>
            <w:r w:rsidRPr="003C36B5">
              <w:rPr>
                <w:sz w:val="16"/>
              </w:rPr>
              <w:t>Biais et explicabilité des recommandations non audités (obligation DSA art. 27)</w:t>
            </w:r>
          </w:p>
        </w:tc>
        <w:tc>
          <w:tcPr>
            <w:tcW w:w="1742" w:type="dxa"/>
            <w:shd w:val="clear" w:color="auto" w:fill="auto"/>
          </w:tcPr>
          <w:p w:rsidR="00ED107C" w:rsidRPr="003C36B5" w:rsidRDefault="003C36B5" w:rsidP="003C36B5">
            <w:pPr>
              <w:pStyle w:val="Compact"/>
              <w:spacing w:before="20" w:after="20"/>
              <w:rPr>
                <w:sz w:val="16"/>
              </w:rPr>
            </w:pPr>
            <w:r w:rsidRPr="003C36B5">
              <w:rPr>
                <w:sz w:val="16"/>
              </w:rPr>
              <w:t>Audit trimestriel des biais, explicabilité utilisateur</w:t>
            </w:r>
          </w:p>
        </w:tc>
      </w:tr>
    </w:tbl>
    <w:p w:rsidR="00ED107C" w:rsidRDefault="003C36B5" w:rsidP="003C36B5">
      <w:pPr>
        <w:pStyle w:val="Corpsdetexte"/>
        <w:spacing w:after="40"/>
        <w:jc w:val="center"/>
      </w:pPr>
      <w:r>
        <w:rPr>
          <w:noProof/>
          <w:lang w:val="fr-FR" w:eastAsia="fr-FR"/>
        </w:rPr>
        <w:lastRenderedPageBreak/>
        <w:drawing>
          <wp:inline distT="0" distB="0" distL="0" distR="0">
            <wp:extent cx="3059999" cy="2818421"/>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assets/radar-maturite.png"/>
                    <pic:cNvPicPr>
                      <a:picLocks noChangeAspect="1" noChangeArrowheads="1"/>
                    </pic:cNvPicPr>
                  </pic:nvPicPr>
                  <pic:blipFill>
                    <a:blip r:embed="rId7"/>
                    <a:stretch>
                      <a:fillRect/>
                    </a:stretch>
                  </pic:blipFill>
                  <pic:spPr bwMode="auto">
                    <a:xfrm>
                      <a:off x="0" y="0"/>
                      <a:ext cx="3059999" cy="2818421"/>
                    </a:xfrm>
                    <a:prstGeom prst="rect">
                      <a:avLst/>
                    </a:prstGeom>
                    <a:noFill/>
                    <a:ln w="9525">
                      <a:noFill/>
                      <a:headEnd/>
                      <a:tailEnd/>
                    </a:ln>
                  </pic:spPr>
                </pic:pic>
              </a:graphicData>
            </a:graphic>
          </wp:inline>
        </w:drawing>
      </w:r>
    </w:p>
    <w:p w:rsidR="00ED107C" w:rsidRDefault="003C36B5">
      <w:pPr>
        <w:pStyle w:val="Titre2"/>
      </w:pPr>
      <w:bookmarkStart w:id="9" w:name="challenges-prioritaires"/>
      <w:bookmarkStart w:id="10" w:name="_Toc240702656"/>
      <w:bookmarkEnd w:id="7"/>
      <w:r>
        <w:t>3. Challenges prioritaires</w:t>
      </w:r>
      <w:bookmarkEnd w:id="10"/>
    </w:p>
    <w:p w:rsidR="00ED107C" w:rsidRDefault="003C36B5">
      <w:pPr>
        <w:pStyle w:val="FirstParagraph"/>
      </w:pPr>
      <w:r>
        <w:rPr>
          <w:b/>
          <w:bCs/>
        </w:rPr>
        <w:t>1. Gouvernance sans structure — URGENT.</w:t>
      </w:r>
      <w:r>
        <w:t xml:space="preserve"> Pas de CDO, pas d’ownership transverse : les décisions data sont prises département par département. Symptôme : « utilisateur actif</w:t>
      </w:r>
      <w:r>
        <w:t xml:space="preserve"> » n’a pas la même définition en Marketing et en Product. Le business case le formule ainsi : </w:t>
      </w:r>
      <w:r>
        <w:rPr>
          <w:i/>
          <w:iCs/>
        </w:rPr>
        <w:t>« different departments manage their own datasets independently »</w:t>
      </w:r>
      <w:r>
        <w:t>.</w:t>
      </w:r>
    </w:p>
    <w:p w:rsidR="00ED107C" w:rsidRDefault="003C36B5">
      <w:pPr>
        <w:pStyle w:val="Corpsdetexte"/>
      </w:pPr>
      <w:r>
        <w:rPr>
          <w:b/>
          <w:bCs/>
        </w:rPr>
        <w:t>2. Conformité multi-juridictions — URGENT.</w:t>
      </w:r>
      <w:r>
        <w:t xml:space="preserve"> Exposition simultanée au GDPR (jusqu’à 20 M€ ou </w:t>
      </w:r>
      <w:r>
        <w:rPr>
          <w:b/>
          <w:bCs/>
        </w:rPr>
        <w:t xml:space="preserve">4 % </w:t>
      </w:r>
      <w:r>
        <w:rPr>
          <w:b/>
          <w:bCs/>
        </w:rPr>
        <w:t>du CA mondial</w:t>
      </w:r>
      <w:r>
        <w:t>, soit ≈ 530 M€ sur un CA 2023 de 13,25 Md€ ; notification de violation sous 72 h), au CCPA/CPRA, au PDPA (Singapour), à la LGPD (Brésil) et au DSA (transparence des recommandations). La sanction IMY 2023 montre que le risque n’est pas théoriq</w:t>
      </w:r>
      <w:r>
        <w:t>ue.</w:t>
      </w:r>
    </w:p>
    <w:p w:rsidR="00ED107C" w:rsidRDefault="003C36B5">
      <w:pPr>
        <w:pStyle w:val="Corpsdetexte"/>
      </w:pPr>
      <w:r>
        <w:rPr>
          <w:b/>
          <w:bCs/>
        </w:rPr>
        <w:t>3. Silos inter-départements — HAUTE.</w:t>
      </w:r>
      <w:r>
        <w:t xml:space="preserve"> Marketing, Product, Engineering et Content gèrent des datasets séparés. Reconstituer le parcours découverte → conversion premium exige de croiser des données aujourd’hui inaccessibles. Conséquences : analyses incomp</w:t>
      </w:r>
      <w:r>
        <w:t>lètes, doublons, features retardées.</w:t>
      </w:r>
    </w:p>
    <w:p w:rsidR="00ED107C" w:rsidRDefault="003C36B5">
      <w:pPr>
        <w:pStyle w:val="Corpsdetexte"/>
      </w:pPr>
      <w:r>
        <w:rPr>
          <w:b/>
          <w:bCs/>
        </w:rPr>
        <w:t>4. Qualité des données — HAUTE.</w:t>
      </w:r>
      <w:r>
        <w:t xml:space="preserve"> Métadonnées de contenu incomplètes ou erronées (ISRC, droits, genres) et données comportementales capturées de façon inconsistante dégradent la recommandation, la distribution des royalti</w:t>
      </w:r>
      <w:r>
        <w:t>es et le reporting. Face à Apple Music, Amazon Music et YouTube Music, la qualité de la recommandation est un facteur direct de rétention.</w:t>
      </w:r>
    </w:p>
    <w:p w:rsidR="00ED107C" w:rsidRDefault="003C36B5">
      <w:pPr>
        <w:pStyle w:val="Corpsdetexte"/>
      </w:pPr>
      <w:r>
        <w:rPr>
          <w:b/>
          <w:bCs/>
        </w:rPr>
        <w:t>5. Privacy et éthique algorithmique — HAUTE.</w:t>
      </w:r>
      <w:r>
        <w:t xml:space="preserve"> Les utilisateurs et régulateurs attendent transparence, anonymisation qu</w:t>
      </w:r>
      <w:r>
        <w:t>and c’est possible et contrôle sur les données (opt-out, effacement). Les historiques d’écoute peuvent révéler des informations sensibles inférées (humeur, convictions) et la recommandation n’est pas auditée pour les biais.</w:t>
      </w:r>
    </w:p>
    <w:p w:rsidR="00ED107C" w:rsidRDefault="003C36B5">
      <w:pPr>
        <w:pStyle w:val="Titre2"/>
      </w:pPr>
      <w:bookmarkStart w:id="11" w:name="cibles-à-12-mois"/>
      <w:bookmarkStart w:id="12" w:name="_Toc240702657"/>
      <w:bookmarkEnd w:id="9"/>
      <w:r>
        <w:t>4. Cibles à 12 mois</w:t>
      </w:r>
      <w:bookmarkEnd w:id="12"/>
    </w:p>
    <w:p w:rsidR="00ED107C" w:rsidRDefault="003C36B5">
      <w:pPr>
        <w:pStyle w:val="FirstParagraph"/>
      </w:pPr>
      <w:r>
        <w:t xml:space="preserve">Priorités : </w:t>
      </w:r>
      <w:r>
        <w:rPr>
          <w:b/>
          <w:bCs/>
        </w:rPr>
        <w:t>urgente</w:t>
      </w:r>
      <w:r>
        <w:t xml:space="preserve"> pour Data Governance (2 → 4) et Compliance (3 → 4) ; </w:t>
      </w:r>
      <w:r>
        <w:rPr>
          <w:b/>
          <w:bCs/>
        </w:rPr>
        <w:t>haute</w:t>
      </w:r>
      <w:r>
        <w:t xml:space="preserve"> pour Data Quality, Usage &amp; Accessibility et Data Literacy (3 → 4) ; </w:t>
      </w:r>
      <w:r>
        <w:rPr>
          <w:b/>
          <w:bCs/>
        </w:rPr>
        <w:t>moyenne</w:t>
      </w:r>
      <w:r>
        <w:t xml:space="preserve"> pour Data Integration ; </w:t>
      </w:r>
      <w:r>
        <w:rPr>
          <w:b/>
          <w:bCs/>
        </w:rPr>
        <w:t>maintenir</w:t>
      </w:r>
      <w:r>
        <w:t xml:space="preserve"> Architecture, Security et Analytics (avec audit des biais).</w:t>
      </w:r>
    </w:p>
    <w:p w:rsidR="00ED107C" w:rsidRDefault="003C36B5">
      <w:pPr>
        <w:pStyle w:val="Corpsdetexte"/>
      </w:pPr>
      <w:r>
        <w:rPr>
          <w:b/>
          <w:bCs/>
        </w:rPr>
        <w:t>Score cible : 4,2 /</w:t>
      </w:r>
      <w:r>
        <w:rPr>
          <w:b/>
          <w:bCs/>
        </w:rPr>
        <w:t xml:space="preserve"> 5</w:t>
      </w:r>
      <w:r>
        <w:t xml:space="preserve"> (niveau « Proactive » consolidé). Les trois dimensions les plus urgentes — Governance, Compliance, Data Quality — structurent le framework (document de politique) et le plan d’implémentation.</w:t>
      </w:r>
    </w:p>
    <w:p w:rsidR="00ED107C" w:rsidRDefault="003C36B5">
      <w:pPr>
        <w:pStyle w:val="Titre1"/>
      </w:pPr>
      <w:bookmarkStart w:id="13" w:name="partie-2-data-governance-policy"/>
      <w:bookmarkStart w:id="14" w:name="_Toc240702658"/>
      <w:bookmarkEnd w:id="11"/>
      <w:bookmarkEnd w:id="3"/>
      <w:r>
        <w:lastRenderedPageBreak/>
        <w:t>Partie 2 — Data Governance Policy</w:t>
      </w:r>
      <w:bookmarkEnd w:id="14"/>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502"/>
        <w:gridCol w:w="2788"/>
        <w:gridCol w:w="750"/>
        <w:gridCol w:w="1930"/>
        <w:gridCol w:w="3218"/>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1167"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Owner</w:t>
            </w:r>
          </w:p>
        </w:tc>
        <w:tc>
          <w:tcPr>
            <w:tcW w:w="2167"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Approbation</w:t>
            </w:r>
          </w:p>
        </w:tc>
        <w:tc>
          <w:tcPr>
            <w:tcW w:w="583"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Version</w:t>
            </w:r>
          </w:p>
        </w:tc>
        <w:tc>
          <w:tcPr>
            <w:tcW w:w="150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D</w:t>
            </w:r>
            <w:r w:rsidRPr="003C36B5">
              <w:rPr>
                <w:b/>
                <w:sz w:val="16"/>
              </w:rPr>
              <w:t>ate d’effet</w:t>
            </w:r>
          </w:p>
        </w:tc>
        <w:tc>
          <w:tcPr>
            <w:tcW w:w="2501"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Revue</w:t>
            </w:r>
          </w:p>
        </w:tc>
      </w:tr>
      <w:tr w:rsidR="00ED107C" w:rsidRPr="003C36B5" w:rsidTr="003C36B5">
        <w:tc>
          <w:tcPr>
            <w:tcW w:w="1167" w:type="dxa"/>
            <w:shd w:val="clear" w:color="auto" w:fill="auto"/>
          </w:tcPr>
          <w:p w:rsidR="00ED107C" w:rsidRPr="003C36B5" w:rsidRDefault="003C36B5" w:rsidP="003C36B5">
            <w:pPr>
              <w:pStyle w:val="Compact"/>
              <w:spacing w:before="20" w:after="20"/>
              <w:rPr>
                <w:sz w:val="16"/>
              </w:rPr>
            </w:pPr>
            <w:r w:rsidRPr="003C36B5">
              <w:rPr>
                <w:sz w:val="16"/>
              </w:rPr>
              <w:t>Chief Data Officer</w:t>
            </w:r>
          </w:p>
        </w:tc>
        <w:tc>
          <w:tcPr>
            <w:tcW w:w="2167" w:type="dxa"/>
            <w:shd w:val="clear" w:color="auto" w:fill="auto"/>
          </w:tcPr>
          <w:p w:rsidR="00ED107C" w:rsidRPr="003C36B5" w:rsidRDefault="003C36B5" w:rsidP="003C36B5">
            <w:pPr>
              <w:pStyle w:val="Compact"/>
              <w:spacing w:before="20" w:after="20"/>
              <w:rPr>
                <w:sz w:val="16"/>
              </w:rPr>
            </w:pPr>
            <w:r w:rsidRPr="003C36B5">
              <w:rPr>
                <w:sz w:val="16"/>
              </w:rPr>
              <w:t>Data Governance Committee, avis DPO et Legal</w:t>
            </w:r>
          </w:p>
        </w:tc>
        <w:tc>
          <w:tcPr>
            <w:tcW w:w="583" w:type="dxa"/>
            <w:shd w:val="clear" w:color="auto" w:fill="auto"/>
          </w:tcPr>
          <w:p w:rsidR="00ED107C" w:rsidRPr="003C36B5" w:rsidRDefault="003C36B5" w:rsidP="003C36B5">
            <w:pPr>
              <w:pStyle w:val="Compact"/>
              <w:spacing w:before="20" w:after="20"/>
              <w:rPr>
                <w:sz w:val="16"/>
              </w:rPr>
            </w:pPr>
            <w:r w:rsidRPr="003C36B5">
              <w:rPr>
                <w:sz w:val="16"/>
              </w:rPr>
              <w:t>1.0</w:t>
            </w:r>
          </w:p>
        </w:tc>
        <w:tc>
          <w:tcPr>
            <w:tcW w:w="1500" w:type="dxa"/>
            <w:shd w:val="clear" w:color="auto" w:fill="auto"/>
          </w:tcPr>
          <w:p w:rsidR="00ED107C" w:rsidRPr="003C36B5" w:rsidRDefault="003C36B5" w:rsidP="003C36B5">
            <w:pPr>
              <w:pStyle w:val="Compact"/>
              <w:spacing w:before="20" w:after="20"/>
              <w:rPr>
                <w:sz w:val="16"/>
              </w:rPr>
            </w:pPr>
            <w:r w:rsidRPr="003C36B5">
              <w:rPr>
                <w:sz w:val="16"/>
              </w:rPr>
              <w:t>M1 du plan d’implémentation</w:t>
            </w:r>
          </w:p>
        </w:tc>
        <w:tc>
          <w:tcPr>
            <w:tcW w:w="2501" w:type="dxa"/>
            <w:shd w:val="clear" w:color="auto" w:fill="auto"/>
          </w:tcPr>
          <w:p w:rsidR="00ED107C" w:rsidRPr="003C36B5" w:rsidRDefault="003C36B5" w:rsidP="003C36B5">
            <w:pPr>
              <w:pStyle w:val="Compact"/>
              <w:spacing w:before="20" w:after="20"/>
              <w:rPr>
                <w:sz w:val="16"/>
              </w:rPr>
            </w:pPr>
            <w:r w:rsidRPr="003C36B5">
              <w:rPr>
                <w:sz w:val="16"/>
              </w:rPr>
              <w:t>Annuelle, ou à tout changement réglementaire majeur</w:t>
            </w:r>
          </w:p>
        </w:tc>
      </w:tr>
    </w:tbl>
    <w:p w:rsidR="00ED107C" w:rsidRDefault="003C36B5">
      <w:pPr>
        <w:pStyle w:val="Titre2"/>
      </w:pPr>
      <w:bookmarkStart w:id="15" w:name="objet-et-champ-dapplication"/>
      <w:bookmarkStart w:id="16" w:name="_Toc240702659"/>
      <w:r>
        <w:t>1. Objet et champ d’application</w:t>
      </w:r>
      <w:bookmarkEnd w:id="16"/>
    </w:p>
    <w:p w:rsidR="00ED107C" w:rsidRDefault="003C36B5">
      <w:pPr>
        <w:pStyle w:val="FirstParagraph"/>
      </w:pPr>
      <w:r>
        <w:rPr>
          <w:b/>
          <w:bCs/>
        </w:rPr>
        <w:t>Objet.</w:t>
      </w:r>
      <w:r>
        <w:t xml:space="preserve"> </w:t>
      </w:r>
      <w:r>
        <w:t>Cette politique définit comment Spotify gouverne ses données pour atteindre les quatre objectifs du business case : qualité des données, conformité réglementaire (GDPR, CCPA/CPRA, PCI-DSS, réglementations locales), protection de la vie privée, accessibilit</w:t>
      </w:r>
      <w:r>
        <w:t>é et intégration des données entre départements.</w:t>
      </w:r>
    </w:p>
    <w:p w:rsidR="00ED107C" w:rsidRDefault="003C36B5">
      <w:pPr>
        <w:pStyle w:val="Corpsdetexte"/>
      </w:pPr>
      <w:r>
        <w:rPr>
          <w:b/>
          <w:bCs/>
        </w:rPr>
        <w:t>Champ d’application.</w:t>
      </w:r>
      <w:r>
        <w:t xml:space="preserve"> Elle s’applique à tous les employés, prestataires et systèmes qui collectent, stockent, traitent ou partagent des données Spotify, dans les 180+ pays d’opération. Elle couvre les cinq do</w:t>
      </w:r>
      <w:r>
        <w:t>maines de données et leurs owners :</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273"/>
        <w:gridCol w:w="4670"/>
        <w:gridCol w:w="1486"/>
        <w:gridCol w:w="2759"/>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99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Domaine</w:t>
            </w:r>
          </w:p>
        </w:tc>
        <w:tc>
          <w:tcPr>
            <w:tcW w:w="363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Données</w:t>
            </w:r>
          </w:p>
        </w:tc>
        <w:tc>
          <w:tcPr>
            <w:tcW w:w="115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Data Steward</w:t>
            </w:r>
          </w:p>
        </w:tc>
        <w:tc>
          <w:tcPr>
            <w:tcW w:w="214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Criticité</w:t>
            </w:r>
          </w:p>
        </w:tc>
      </w:tr>
      <w:tr w:rsidR="00ED107C" w:rsidRPr="003C36B5" w:rsidTr="003C36B5">
        <w:tc>
          <w:tcPr>
            <w:tcW w:w="990" w:type="dxa"/>
            <w:shd w:val="clear" w:color="auto" w:fill="auto"/>
          </w:tcPr>
          <w:p w:rsidR="00ED107C" w:rsidRPr="003C36B5" w:rsidRDefault="003C36B5" w:rsidP="003C36B5">
            <w:pPr>
              <w:pStyle w:val="Compact"/>
              <w:spacing w:before="20" w:after="20"/>
              <w:rPr>
                <w:sz w:val="16"/>
              </w:rPr>
            </w:pPr>
            <w:r w:rsidRPr="003C36B5">
              <w:rPr>
                <w:b/>
                <w:bCs/>
                <w:sz w:val="16"/>
              </w:rPr>
              <w:t>User Data</w:t>
            </w:r>
          </w:p>
        </w:tc>
        <w:tc>
          <w:tcPr>
            <w:tcW w:w="3630" w:type="dxa"/>
            <w:shd w:val="clear" w:color="auto" w:fill="auto"/>
          </w:tcPr>
          <w:p w:rsidR="00ED107C" w:rsidRPr="003C36B5" w:rsidRDefault="003C36B5" w:rsidP="003C36B5">
            <w:pPr>
              <w:pStyle w:val="Compact"/>
              <w:spacing w:before="20" w:after="20"/>
              <w:rPr>
                <w:sz w:val="16"/>
              </w:rPr>
            </w:pPr>
            <w:r w:rsidRPr="003C36B5">
              <w:rPr>
                <w:sz w:val="16"/>
              </w:rPr>
              <w:t>Profils, historiques d’écoute, recherches, playlists, localisation</w:t>
            </w:r>
          </w:p>
        </w:tc>
        <w:tc>
          <w:tcPr>
            <w:tcW w:w="1155" w:type="dxa"/>
            <w:shd w:val="clear" w:color="auto" w:fill="auto"/>
          </w:tcPr>
          <w:p w:rsidR="00ED107C" w:rsidRPr="003C36B5" w:rsidRDefault="003C36B5" w:rsidP="003C36B5">
            <w:pPr>
              <w:pStyle w:val="Compact"/>
              <w:spacing w:before="20" w:after="20"/>
              <w:rPr>
                <w:sz w:val="16"/>
              </w:rPr>
            </w:pPr>
            <w:r w:rsidRPr="003C36B5">
              <w:rPr>
                <w:sz w:val="16"/>
              </w:rPr>
              <w:t>Steward User</w:t>
            </w:r>
          </w:p>
        </w:tc>
        <w:tc>
          <w:tcPr>
            <w:tcW w:w="2145" w:type="dxa"/>
            <w:shd w:val="clear" w:color="auto" w:fill="auto"/>
          </w:tcPr>
          <w:p w:rsidR="00ED107C" w:rsidRPr="003C36B5" w:rsidRDefault="003C36B5" w:rsidP="003C36B5">
            <w:pPr>
              <w:pStyle w:val="Compact"/>
              <w:spacing w:before="20" w:after="20"/>
              <w:rPr>
                <w:sz w:val="16"/>
              </w:rPr>
            </w:pPr>
            <w:r w:rsidRPr="003C36B5">
              <w:rPr>
                <w:sz w:val="16"/>
              </w:rPr>
              <w:t>Très haute — GDPR, recommandation</w:t>
            </w:r>
          </w:p>
        </w:tc>
      </w:tr>
      <w:tr w:rsidR="00ED107C" w:rsidRPr="003C36B5" w:rsidTr="003C36B5">
        <w:tc>
          <w:tcPr>
            <w:tcW w:w="990" w:type="dxa"/>
            <w:shd w:val="clear" w:color="auto" w:fill="auto"/>
          </w:tcPr>
          <w:p w:rsidR="00ED107C" w:rsidRPr="003C36B5" w:rsidRDefault="003C36B5" w:rsidP="003C36B5">
            <w:pPr>
              <w:pStyle w:val="Compact"/>
              <w:spacing w:before="20" w:after="20"/>
              <w:rPr>
                <w:sz w:val="16"/>
              </w:rPr>
            </w:pPr>
            <w:r w:rsidRPr="003C36B5">
              <w:rPr>
                <w:b/>
                <w:bCs/>
                <w:sz w:val="16"/>
              </w:rPr>
              <w:t>Content</w:t>
            </w:r>
          </w:p>
        </w:tc>
        <w:tc>
          <w:tcPr>
            <w:tcW w:w="3630" w:type="dxa"/>
            <w:shd w:val="clear" w:color="auto" w:fill="auto"/>
          </w:tcPr>
          <w:p w:rsidR="00ED107C" w:rsidRPr="003C36B5" w:rsidRDefault="003C36B5" w:rsidP="003C36B5">
            <w:pPr>
              <w:pStyle w:val="Compact"/>
              <w:spacing w:before="20" w:after="20"/>
              <w:rPr>
                <w:sz w:val="16"/>
              </w:rPr>
            </w:pPr>
            <w:r w:rsidRPr="003C36B5">
              <w:rPr>
                <w:sz w:val="16"/>
              </w:rPr>
              <w:t>Métadonnées musicales et podcasts (ISRC, artistes, droits)</w:t>
            </w:r>
          </w:p>
        </w:tc>
        <w:tc>
          <w:tcPr>
            <w:tcW w:w="1155" w:type="dxa"/>
            <w:shd w:val="clear" w:color="auto" w:fill="auto"/>
          </w:tcPr>
          <w:p w:rsidR="00ED107C" w:rsidRPr="003C36B5" w:rsidRDefault="003C36B5" w:rsidP="003C36B5">
            <w:pPr>
              <w:pStyle w:val="Compact"/>
              <w:spacing w:before="20" w:after="20"/>
              <w:rPr>
                <w:sz w:val="16"/>
              </w:rPr>
            </w:pPr>
            <w:r w:rsidRPr="003C36B5">
              <w:rPr>
                <w:sz w:val="16"/>
              </w:rPr>
              <w:t>Steward Content</w:t>
            </w:r>
          </w:p>
        </w:tc>
        <w:tc>
          <w:tcPr>
            <w:tcW w:w="2145" w:type="dxa"/>
            <w:shd w:val="clear" w:color="auto" w:fill="auto"/>
          </w:tcPr>
          <w:p w:rsidR="00ED107C" w:rsidRPr="003C36B5" w:rsidRDefault="003C36B5" w:rsidP="003C36B5">
            <w:pPr>
              <w:pStyle w:val="Compact"/>
              <w:spacing w:before="20" w:after="20"/>
              <w:rPr>
                <w:sz w:val="16"/>
              </w:rPr>
            </w:pPr>
            <w:r w:rsidRPr="003C36B5">
              <w:rPr>
                <w:sz w:val="16"/>
              </w:rPr>
              <w:t>Haute — recommandation, royalties</w:t>
            </w:r>
          </w:p>
        </w:tc>
      </w:tr>
      <w:tr w:rsidR="00ED107C" w:rsidRPr="003C36B5" w:rsidTr="003C36B5">
        <w:tc>
          <w:tcPr>
            <w:tcW w:w="990" w:type="dxa"/>
            <w:shd w:val="clear" w:color="auto" w:fill="auto"/>
          </w:tcPr>
          <w:p w:rsidR="00ED107C" w:rsidRPr="003C36B5" w:rsidRDefault="003C36B5" w:rsidP="003C36B5">
            <w:pPr>
              <w:pStyle w:val="Compact"/>
              <w:spacing w:before="20" w:after="20"/>
              <w:rPr>
                <w:sz w:val="16"/>
              </w:rPr>
            </w:pPr>
            <w:r w:rsidRPr="003C36B5">
              <w:rPr>
                <w:b/>
                <w:bCs/>
                <w:sz w:val="16"/>
              </w:rPr>
              <w:t>Payments</w:t>
            </w:r>
          </w:p>
        </w:tc>
        <w:tc>
          <w:tcPr>
            <w:tcW w:w="3630" w:type="dxa"/>
            <w:shd w:val="clear" w:color="auto" w:fill="auto"/>
          </w:tcPr>
          <w:p w:rsidR="00ED107C" w:rsidRPr="003C36B5" w:rsidRDefault="003C36B5" w:rsidP="003C36B5">
            <w:pPr>
              <w:pStyle w:val="Compact"/>
              <w:spacing w:before="20" w:after="20"/>
              <w:rPr>
                <w:sz w:val="16"/>
              </w:rPr>
            </w:pPr>
            <w:r w:rsidRPr="003C36B5">
              <w:rPr>
                <w:sz w:val="16"/>
              </w:rPr>
              <w:t>Abonnements, transactions, facturation</w:t>
            </w:r>
          </w:p>
        </w:tc>
        <w:tc>
          <w:tcPr>
            <w:tcW w:w="1155" w:type="dxa"/>
            <w:shd w:val="clear" w:color="auto" w:fill="auto"/>
          </w:tcPr>
          <w:p w:rsidR="00ED107C" w:rsidRPr="003C36B5" w:rsidRDefault="003C36B5" w:rsidP="003C36B5">
            <w:pPr>
              <w:pStyle w:val="Compact"/>
              <w:spacing w:before="20" w:after="20"/>
              <w:rPr>
                <w:sz w:val="16"/>
              </w:rPr>
            </w:pPr>
            <w:r w:rsidRPr="003C36B5">
              <w:rPr>
                <w:sz w:val="16"/>
              </w:rPr>
              <w:t>Steward Payments</w:t>
            </w:r>
          </w:p>
        </w:tc>
        <w:tc>
          <w:tcPr>
            <w:tcW w:w="2145" w:type="dxa"/>
            <w:shd w:val="clear" w:color="auto" w:fill="auto"/>
          </w:tcPr>
          <w:p w:rsidR="00ED107C" w:rsidRPr="003C36B5" w:rsidRDefault="003C36B5" w:rsidP="003C36B5">
            <w:pPr>
              <w:pStyle w:val="Compact"/>
              <w:spacing w:before="20" w:after="20"/>
              <w:rPr>
                <w:sz w:val="16"/>
              </w:rPr>
            </w:pPr>
            <w:r w:rsidRPr="003C36B5">
              <w:rPr>
                <w:sz w:val="16"/>
              </w:rPr>
              <w:t>Très haute — PCI-DSS</w:t>
            </w:r>
          </w:p>
        </w:tc>
      </w:tr>
      <w:tr w:rsidR="00ED107C" w:rsidRPr="003C36B5" w:rsidTr="003C36B5">
        <w:tc>
          <w:tcPr>
            <w:tcW w:w="990" w:type="dxa"/>
            <w:shd w:val="clear" w:color="auto" w:fill="auto"/>
          </w:tcPr>
          <w:p w:rsidR="00ED107C" w:rsidRPr="003C36B5" w:rsidRDefault="003C36B5" w:rsidP="003C36B5">
            <w:pPr>
              <w:pStyle w:val="Compact"/>
              <w:spacing w:before="20" w:after="20"/>
              <w:rPr>
                <w:sz w:val="16"/>
              </w:rPr>
            </w:pPr>
            <w:r w:rsidRPr="003C36B5">
              <w:rPr>
                <w:b/>
                <w:bCs/>
                <w:sz w:val="16"/>
              </w:rPr>
              <w:t>Ads</w:t>
            </w:r>
          </w:p>
        </w:tc>
        <w:tc>
          <w:tcPr>
            <w:tcW w:w="3630" w:type="dxa"/>
            <w:shd w:val="clear" w:color="auto" w:fill="auto"/>
          </w:tcPr>
          <w:p w:rsidR="00ED107C" w:rsidRPr="003C36B5" w:rsidRDefault="003C36B5" w:rsidP="003C36B5">
            <w:pPr>
              <w:pStyle w:val="Compact"/>
              <w:spacing w:before="20" w:after="20"/>
              <w:rPr>
                <w:sz w:val="16"/>
              </w:rPr>
            </w:pPr>
            <w:r w:rsidRPr="003C36B5">
              <w:rPr>
                <w:sz w:val="16"/>
              </w:rPr>
              <w:t>Campagnes, ciblage, impressions, segments</w:t>
            </w:r>
          </w:p>
        </w:tc>
        <w:tc>
          <w:tcPr>
            <w:tcW w:w="1155" w:type="dxa"/>
            <w:shd w:val="clear" w:color="auto" w:fill="auto"/>
          </w:tcPr>
          <w:p w:rsidR="00ED107C" w:rsidRPr="003C36B5" w:rsidRDefault="003C36B5" w:rsidP="003C36B5">
            <w:pPr>
              <w:pStyle w:val="Compact"/>
              <w:spacing w:before="20" w:after="20"/>
              <w:rPr>
                <w:sz w:val="16"/>
              </w:rPr>
            </w:pPr>
            <w:r w:rsidRPr="003C36B5">
              <w:rPr>
                <w:sz w:val="16"/>
              </w:rPr>
              <w:t>Steward Ads</w:t>
            </w:r>
          </w:p>
        </w:tc>
        <w:tc>
          <w:tcPr>
            <w:tcW w:w="2145" w:type="dxa"/>
            <w:shd w:val="clear" w:color="auto" w:fill="auto"/>
          </w:tcPr>
          <w:p w:rsidR="00ED107C" w:rsidRPr="003C36B5" w:rsidRDefault="003C36B5" w:rsidP="003C36B5">
            <w:pPr>
              <w:pStyle w:val="Compact"/>
              <w:spacing w:before="20" w:after="20"/>
              <w:rPr>
                <w:sz w:val="16"/>
              </w:rPr>
            </w:pPr>
            <w:r w:rsidRPr="003C36B5">
              <w:rPr>
                <w:sz w:val="16"/>
              </w:rPr>
              <w:t>Haute — opt-out CCPA</w:t>
            </w:r>
          </w:p>
        </w:tc>
      </w:tr>
      <w:tr w:rsidR="00ED107C" w:rsidRPr="003C36B5" w:rsidTr="003C36B5">
        <w:tc>
          <w:tcPr>
            <w:tcW w:w="990" w:type="dxa"/>
            <w:shd w:val="clear" w:color="auto" w:fill="auto"/>
          </w:tcPr>
          <w:p w:rsidR="00ED107C" w:rsidRPr="003C36B5" w:rsidRDefault="003C36B5" w:rsidP="003C36B5">
            <w:pPr>
              <w:pStyle w:val="Compact"/>
              <w:spacing w:before="20" w:after="20"/>
              <w:rPr>
                <w:sz w:val="16"/>
              </w:rPr>
            </w:pPr>
            <w:r w:rsidRPr="003C36B5">
              <w:rPr>
                <w:b/>
                <w:bCs/>
                <w:sz w:val="16"/>
              </w:rPr>
              <w:t>Marketing</w:t>
            </w:r>
          </w:p>
        </w:tc>
        <w:tc>
          <w:tcPr>
            <w:tcW w:w="3630" w:type="dxa"/>
            <w:shd w:val="clear" w:color="auto" w:fill="auto"/>
          </w:tcPr>
          <w:p w:rsidR="00ED107C" w:rsidRPr="003C36B5" w:rsidRDefault="003C36B5" w:rsidP="003C36B5">
            <w:pPr>
              <w:pStyle w:val="Compact"/>
              <w:spacing w:before="20" w:after="20"/>
              <w:rPr>
                <w:sz w:val="16"/>
              </w:rPr>
            </w:pPr>
            <w:r w:rsidRPr="003C36B5">
              <w:rPr>
                <w:sz w:val="16"/>
              </w:rPr>
              <w:t>Engagement, segmentation, conversion free → premium</w:t>
            </w:r>
          </w:p>
        </w:tc>
        <w:tc>
          <w:tcPr>
            <w:tcW w:w="1155" w:type="dxa"/>
            <w:shd w:val="clear" w:color="auto" w:fill="auto"/>
          </w:tcPr>
          <w:p w:rsidR="00ED107C" w:rsidRPr="003C36B5" w:rsidRDefault="003C36B5" w:rsidP="003C36B5">
            <w:pPr>
              <w:pStyle w:val="Compact"/>
              <w:spacing w:before="20" w:after="20"/>
              <w:rPr>
                <w:sz w:val="16"/>
              </w:rPr>
            </w:pPr>
            <w:r w:rsidRPr="003C36B5">
              <w:rPr>
                <w:sz w:val="16"/>
              </w:rPr>
              <w:t>Steward Marketing</w:t>
            </w:r>
          </w:p>
        </w:tc>
        <w:tc>
          <w:tcPr>
            <w:tcW w:w="2145" w:type="dxa"/>
            <w:shd w:val="clear" w:color="auto" w:fill="auto"/>
          </w:tcPr>
          <w:p w:rsidR="00ED107C" w:rsidRPr="003C36B5" w:rsidRDefault="003C36B5" w:rsidP="003C36B5">
            <w:pPr>
              <w:pStyle w:val="Compact"/>
              <w:spacing w:before="20" w:after="20"/>
              <w:rPr>
                <w:sz w:val="16"/>
              </w:rPr>
            </w:pPr>
            <w:r w:rsidRPr="003C36B5">
              <w:rPr>
                <w:sz w:val="16"/>
              </w:rPr>
              <w:t>Haute — croissance</w:t>
            </w:r>
          </w:p>
        </w:tc>
      </w:tr>
    </w:tbl>
    <w:p w:rsidR="00ED107C" w:rsidRDefault="003C36B5">
      <w:pPr>
        <w:pStyle w:val="Corpsdetexte"/>
      </w:pPr>
      <w:r>
        <w:rPr>
          <w:b/>
          <w:bCs/>
        </w:rPr>
        <w:t>Définitions.</w:t>
      </w:r>
      <w:r>
        <w:t xml:space="preserve"> </w:t>
      </w:r>
      <w:r>
        <w:rPr>
          <w:i/>
          <w:iCs/>
        </w:rPr>
        <w:t>Donnée personnelle</w:t>
      </w:r>
      <w:r>
        <w:t xml:space="preserve"> : toute information relative à une personne identifiable (GDPR art. 4). </w:t>
      </w:r>
      <w:r>
        <w:rPr>
          <w:i/>
          <w:iCs/>
        </w:rPr>
        <w:t>Donnée sensible</w:t>
      </w:r>
      <w:r>
        <w:t xml:space="preserve"> : catégories d</w:t>
      </w:r>
      <w:r>
        <w:t xml:space="preserve">e l’art. 9 GDPR, y compris les informations </w:t>
      </w:r>
      <w:r>
        <w:rPr>
          <w:b/>
          <w:bCs/>
        </w:rPr>
        <w:t>inférées</w:t>
      </w:r>
      <w:r>
        <w:t xml:space="preserve"> (humeur, convictions, santé déduites des écoutes). </w:t>
      </w:r>
      <w:r>
        <w:rPr>
          <w:i/>
          <w:iCs/>
        </w:rPr>
        <w:t>Data Owner</w:t>
      </w:r>
      <w:r>
        <w:t xml:space="preserve"> : responsable métier d’un domaine. </w:t>
      </w:r>
      <w:r>
        <w:rPr>
          <w:i/>
          <w:iCs/>
        </w:rPr>
        <w:t>Data Steward</w:t>
      </w:r>
      <w:r>
        <w:t xml:space="preserve"> : garant opérationnel de la qualité et de la conformité d’un domaine. </w:t>
      </w:r>
      <w:r>
        <w:rPr>
          <w:i/>
          <w:iCs/>
        </w:rPr>
        <w:t>Traitement</w:t>
      </w:r>
      <w:r>
        <w:t xml:space="preserve"> : toute opér</w:t>
      </w:r>
      <w:r>
        <w:t>ation sur des données personnelles.</w:t>
      </w:r>
    </w:p>
    <w:p w:rsidR="00ED107C" w:rsidRDefault="003C36B5">
      <w:pPr>
        <w:pStyle w:val="Titre2"/>
      </w:pPr>
      <w:bookmarkStart w:id="17" w:name="principes-governance-principles-guide"/>
      <w:bookmarkStart w:id="18" w:name="_Toc240702660"/>
      <w:bookmarkEnd w:id="15"/>
      <w:r>
        <w:t>2. Principes (Governance Principles Guide)</w:t>
      </w:r>
      <w:bookmarkEnd w:id="18"/>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18"/>
        <w:gridCol w:w="1910"/>
        <w:gridCol w:w="7960"/>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247"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w:t>
            </w:r>
          </w:p>
        </w:tc>
        <w:tc>
          <w:tcPr>
            <w:tcW w:w="148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Principe</w:t>
            </w:r>
          </w:p>
        </w:tc>
        <w:tc>
          <w:tcPr>
            <w:tcW w:w="6187"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Engagement Spotify</w:t>
            </w:r>
          </w:p>
        </w:tc>
      </w:tr>
      <w:tr w:rsidR="00ED107C" w:rsidRPr="003C36B5" w:rsidTr="003C36B5">
        <w:tc>
          <w:tcPr>
            <w:tcW w:w="247" w:type="dxa"/>
            <w:shd w:val="clear" w:color="auto" w:fill="auto"/>
          </w:tcPr>
          <w:p w:rsidR="00ED107C" w:rsidRPr="003C36B5" w:rsidRDefault="003C36B5" w:rsidP="003C36B5">
            <w:pPr>
              <w:pStyle w:val="Compact"/>
              <w:spacing w:before="20" w:after="20"/>
              <w:rPr>
                <w:sz w:val="16"/>
              </w:rPr>
            </w:pPr>
            <w:r w:rsidRPr="003C36B5">
              <w:rPr>
                <w:sz w:val="16"/>
              </w:rPr>
              <w:t>1</w:t>
            </w:r>
          </w:p>
        </w:tc>
        <w:tc>
          <w:tcPr>
            <w:tcW w:w="1485" w:type="dxa"/>
            <w:shd w:val="clear" w:color="auto" w:fill="auto"/>
          </w:tcPr>
          <w:p w:rsidR="00ED107C" w:rsidRPr="003C36B5" w:rsidRDefault="003C36B5" w:rsidP="003C36B5">
            <w:pPr>
              <w:pStyle w:val="Compact"/>
              <w:spacing w:before="20" w:after="20"/>
              <w:rPr>
                <w:sz w:val="16"/>
              </w:rPr>
            </w:pPr>
            <w:r w:rsidRPr="003C36B5">
              <w:rPr>
                <w:sz w:val="16"/>
              </w:rPr>
              <w:t>Accountability</w:t>
            </w:r>
          </w:p>
        </w:tc>
        <w:tc>
          <w:tcPr>
            <w:tcW w:w="6187" w:type="dxa"/>
            <w:shd w:val="clear" w:color="auto" w:fill="auto"/>
          </w:tcPr>
          <w:p w:rsidR="00ED107C" w:rsidRPr="003C36B5" w:rsidRDefault="003C36B5" w:rsidP="003C36B5">
            <w:pPr>
              <w:pStyle w:val="Compact"/>
              <w:spacing w:before="20" w:after="20"/>
              <w:rPr>
                <w:sz w:val="16"/>
              </w:rPr>
            </w:pPr>
            <w:r w:rsidRPr="003C36B5">
              <w:rPr>
                <w:sz w:val="16"/>
              </w:rPr>
              <w:t>Un owner et un steward nommés par domaine ; RACI publié</w:t>
            </w:r>
          </w:p>
        </w:tc>
      </w:tr>
      <w:tr w:rsidR="00ED107C" w:rsidRPr="003C36B5" w:rsidTr="003C36B5">
        <w:tc>
          <w:tcPr>
            <w:tcW w:w="247" w:type="dxa"/>
            <w:shd w:val="clear" w:color="auto" w:fill="auto"/>
          </w:tcPr>
          <w:p w:rsidR="00ED107C" w:rsidRPr="003C36B5" w:rsidRDefault="003C36B5" w:rsidP="003C36B5">
            <w:pPr>
              <w:pStyle w:val="Compact"/>
              <w:spacing w:before="20" w:after="20"/>
              <w:rPr>
                <w:sz w:val="16"/>
              </w:rPr>
            </w:pPr>
            <w:r w:rsidRPr="003C36B5">
              <w:rPr>
                <w:sz w:val="16"/>
              </w:rPr>
              <w:t>2</w:t>
            </w:r>
          </w:p>
        </w:tc>
        <w:tc>
          <w:tcPr>
            <w:tcW w:w="1485" w:type="dxa"/>
            <w:shd w:val="clear" w:color="auto" w:fill="auto"/>
          </w:tcPr>
          <w:p w:rsidR="00ED107C" w:rsidRPr="003C36B5" w:rsidRDefault="003C36B5" w:rsidP="003C36B5">
            <w:pPr>
              <w:pStyle w:val="Compact"/>
              <w:spacing w:before="20" w:after="20"/>
              <w:rPr>
                <w:sz w:val="16"/>
              </w:rPr>
            </w:pPr>
            <w:r w:rsidRPr="003C36B5">
              <w:rPr>
                <w:sz w:val="16"/>
              </w:rPr>
              <w:t>Transparency</w:t>
            </w:r>
          </w:p>
        </w:tc>
        <w:tc>
          <w:tcPr>
            <w:tcW w:w="6187" w:type="dxa"/>
            <w:shd w:val="clear" w:color="auto" w:fill="auto"/>
          </w:tcPr>
          <w:p w:rsidR="00ED107C" w:rsidRPr="003C36B5" w:rsidRDefault="003C36B5" w:rsidP="003C36B5">
            <w:pPr>
              <w:pStyle w:val="Compact"/>
              <w:spacing w:before="20" w:after="20"/>
              <w:rPr>
                <w:sz w:val="16"/>
              </w:rPr>
            </w:pPr>
            <w:r w:rsidRPr="003C36B5">
              <w:rPr>
                <w:sz w:val="16"/>
              </w:rPr>
              <w:t>Privacy notice claire par finalité ; consentement granulaire ; information sur durées de conservation et transferts (point sanctionné par l’IMY en 2023)</w:t>
            </w:r>
          </w:p>
        </w:tc>
      </w:tr>
      <w:tr w:rsidR="00ED107C" w:rsidRPr="003C36B5" w:rsidTr="003C36B5">
        <w:tc>
          <w:tcPr>
            <w:tcW w:w="247" w:type="dxa"/>
            <w:shd w:val="clear" w:color="auto" w:fill="auto"/>
          </w:tcPr>
          <w:p w:rsidR="00ED107C" w:rsidRPr="003C36B5" w:rsidRDefault="003C36B5" w:rsidP="003C36B5">
            <w:pPr>
              <w:pStyle w:val="Compact"/>
              <w:spacing w:before="20" w:after="20"/>
              <w:rPr>
                <w:sz w:val="16"/>
              </w:rPr>
            </w:pPr>
            <w:r w:rsidRPr="003C36B5">
              <w:rPr>
                <w:sz w:val="16"/>
              </w:rPr>
              <w:t>3</w:t>
            </w:r>
          </w:p>
        </w:tc>
        <w:tc>
          <w:tcPr>
            <w:tcW w:w="1485" w:type="dxa"/>
            <w:shd w:val="clear" w:color="auto" w:fill="auto"/>
          </w:tcPr>
          <w:p w:rsidR="00ED107C" w:rsidRPr="003C36B5" w:rsidRDefault="003C36B5" w:rsidP="003C36B5">
            <w:pPr>
              <w:pStyle w:val="Compact"/>
              <w:spacing w:before="20" w:after="20"/>
              <w:rPr>
                <w:sz w:val="16"/>
              </w:rPr>
            </w:pPr>
            <w:r w:rsidRPr="003C36B5">
              <w:rPr>
                <w:sz w:val="16"/>
              </w:rPr>
              <w:t>Data Security</w:t>
            </w:r>
          </w:p>
        </w:tc>
        <w:tc>
          <w:tcPr>
            <w:tcW w:w="6187" w:type="dxa"/>
            <w:shd w:val="clear" w:color="auto" w:fill="auto"/>
          </w:tcPr>
          <w:p w:rsidR="00ED107C" w:rsidRPr="003C36B5" w:rsidRDefault="003C36B5" w:rsidP="003C36B5">
            <w:pPr>
              <w:pStyle w:val="Compact"/>
              <w:spacing w:before="20" w:after="20"/>
              <w:rPr>
                <w:sz w:val="16"/>
              </w:rPr>
            </w:pPr>
            <w:r w:rsidRPr="003C36B5">
              <w:rPr>
                <w:sz w:val="16"/>
              </w:rPr>
              <w:t>Chiffrement, contrôle d’accès par rôle, SIEM, protocole d’incident</w:t>
            </w:r>
          </w:p>
        </w:tc>
      </w:tr>
      <w:tr w:rsidR="00ED107C" w:rsidRPr="003C36B5" w:rsidTr="003C36B5">
        <w:tc>
          <w:tcPr>
            <w:tcW w:w="247" w:type="dxa"/>
            <w:shd w:val="clear" w:color="auto" w:fill="auto"/>
          </w:tcPr>
          <w:p w:rsidR="00ED107C" w:rsidRPr="003C36B5" w:rsidRDefault="003C36B5" w:rsidP="003C36B5">
            <w:pPr>
              <w:pStyle w:val="Compact"/>
              <w:spacing w:before="20" w:after="20"/>
              <w:rPr>
                <w:sz w:val="16"/>
              </w:rPr>
            </w:pPr>
            <w:r w:rsidRPr="003C36B5">
              <w:rPr>
                <w:sz w:val="16"/>
              </w:rPr>
              <w:t>4</w:t>
            </w:r>
          </w:p>
        </w:tc>
        <w:tc>
          <w:tcPr>
            <w:tcW w:w="1485" w:type="dxa"/>
            <w:shd w:val="clear" w:color="auto" w:fill="auto"/>
          </w:tcPr>
          <w:p w:rsidR="00ED107C" w:rsidRPr="003C36B5" w:rsidRDefault="003C36B5" w:rsidP="003C36B5">
            <w:pPr>
              <w:pStyle w:val="Compact"/>
              <w:spacing w:before="20" w:after="20"/>
              <w:rPr>
                <w:sz w:val="16"/>
              </w:rPr>
            </w:pPr>
            <w:r w:rsidRPr="003C36B5">
              <w:rPr>
                <w:sz w:val="16"/>
              </w:rPr>
              <w:t>Data Quality</w:t>
            </w:r>
          </w:p>
        </w:tc>
        <w:tc>
          <w:tcPr>
            <w:tcW w:w="6187" w:type="dxa"/>
            <w:shd w:val="clear" w:color="auto" w:fill="auto"/>
          </w:tcPr>
          <w:p w:rsidR="00ED107C" w:rsidRPr="003C36B5" w:rsidRDefault="003C36B5" w:rsidP="003C36B5">
            <w:pPr>
              <w:pStyle w:val="Compact"/>
              <w:spacing w:before="20" w:after="20"/>
              <w:rPr>
                <w:sz w:val="16"/>
              </w:rPr>
            </w:pPr>
            <w:r w:rsidRPr="003C36B5">
              <w:rPr>
                <w:sz w:val="16"/>
              </w:rPr>
              <w:t>4 c</w:t>
            </w:r>
            <w:r w:rsidRPr="003C36B5">
              <w:rPr>
                <w:sz w:val="16"/>
              </w:rPr>
              <w:t>ritères mesurés par domaine, audits réguliers</w:t>
            </w:r>
          </w:p>
        </w:tc>
      </w:tr>
      <w:tr w:rsidR="00ED107C" w:rsidRPr="003C36B5" w:rsidTr="003C36B5">
        <w:tc>
          <w:tcPr>
            <w:tcW w:w="247" w:type="dxa"/>
            <w:shd w:val="clear" w:color="auto" w:fill="auto"/>
          </w:tcPr>
          <w:p w:rsidR="00ED107C" w:rsidRPr="003C36B5" w:rsidRDefault="003C36B5" w:rsidP="003C36B5">
            <w:pPr>
              <w:pStyle w:val="Compact"/>
              <w:spacing w:before="20" w:after="20"/>
              <w:rPr>
                <w:sz w:val="16"/>
              </w:rPr>
            </w:pPr>
            <w:r w:rsidRPr="003C36B5">
              <w:rPr>
                <w:sz w:val="16"/>
              </w:rPr>
              <w:t>5</w:t>
            </w:r>
          </w:p>
        </w:tc>
        <w:tc>
          <w:tcPr>
            <w:tcW w:w="1485" w:type="dxa"/>
            <w:shd w:val="clear" w:color="auto" w:fill="auto"/>
          </w:tcPr>
          <w:p w:rsidR="00ED107C" w:rsidRPr="003C36B5" w:rsidRDefault="003C36B5" w:rsidP="003C36B5">
            <w:pPr>
              <w:pStyle w:val="Compact"/>
              <w:spacing w:before="20" w:after="20"/>
              <w:rPr>
                <w:sz w:val="16"/>
              </w:rPr>
            </w:pPr>
            <w:r w:rsidRPr="003C36B5">
              <w:rPr>
                <w:sz w:val="16"/>
              </w:rPr>
              <w:t>Compliance</w:t>
            </w:r>
          </w:p>
        </w:tc>
        <w:tc>
          <w:tcPr>
            <w:tcW w:w="6187" w:type="dxa"/>
            <w:shd w:val="clear" w:color="auto" w:fill="auto"/>
          </w:tcPr>
          <w:p w:rsidR="00ED107C" w:rsidRPr="003C36B5" w:rsidRDefault="003C36B5" w:rsidP="003C36B5">
            <w:pPr>
              <w:pStyle w:val="Compact"/>
              <w:spacing w:before="20" w:after="20"/>
              <w:rPr>
                <w:sz w:val="16"/>
              </w:rPr>
            </w:pPr>
            <w:r w:rsidRPr="003C36B5">
              <w:rPr>
                <w:sz w:val="16"/>
              </w:rPr>
              <w:t>Revue trimestrielle ; checklist GDPR/CCPA/PCI-DSS tenue à jour (annexe)</w:t>
            </w:r>
          </w:p>
        </w:tc>
      </w:tr>
      <w:tr w:rsidR="00ED107C" w:rsidRPr="003C36B5" w:rsidTr="003C36B5">
        <w:tc>
          <w:tcPr>
            <w:tcW w:w="247" w:type="dxa"/>
            <w:shd w:val="clear" w:color="auto" w:fill="auto"/>
          </w:tcPr>
          <w:p w:rsidR="00ED107C" w:rsidRPr="003C36B5" w:rsidRDefault="003C36B5" w:rsidP="003C36B5">
            <w:pPr>
              <w:pStyle w:val="Compact"/>
              <w:spacing w:before="20" w:after="20"/>
              <w:rPr>
                <w:sz w:val="16"/>
              </w:rPr>
            </w:pPr>
            <w:r w:rsidRPr="003C36B5">
              <w:rPr>
                <w:sz w:val="16"/>
              </w:rPr>
              <w:t>6</w:t>
            </w:r>
          </w:p>
        </w:tc>
        <w:tc>
          <w:tcPr>
            <w:tcW w:w="1485" w:type="dxa"/>
            <w:shd w:val="clear" w:color="auto" w:fill="auto"/>
          </w:tcPr>
          <w:p w:rsidR="00ED107C" w:rsidRPr="003C36B5" w:rsidRDefault="003C36B5" w:rsidP="003C36B5">
            <w:pPr>
              <w:pStyle w:val="Compact"/>
              <w:spacing w:before="20" w:after="20"/>
              <w:rPr>
                <w:sz w:val="16"/>
              </w:rPr>
            </w:pPr>
            <w:r w:rsidRPr="003C36B5">
              <w:rPr>
                <w:sz w:val="16"/>
              </w:rPr>
              <w:t>Data Minimization</w:t>
            </w:r>
          </w:p>
        </w:tc>
        <w:tc>
          <w:tcPr>
            <w:tcW w:w="6187" w:type="dxa"/>
            <w:shd w:val="clear" w:color="auto" w:fill="auto"/>
          </w:tcPr>
          <w:p w:rsidR="00ED107C" w:rsidRPr="003C36B5" w:rsidRDefault="003C36B5" w:rsidP="003C36B5">
            <w:pPr>
              <w:pStyle w:val="Compact"/>
              <w:spacing w:before="20" w:after="20"/>
              <w:rPr>
                <w:sz w:val="16"/>
              </w:rPr>
            </w:pPr>
            <w:r w:rsidRPr="003C36B5">
              <w:rPr>
                <w:sz w:val="16"/>
              </w:rPr>
              <w:t>Collecte limitée à la finalité ; revue annuelle des datasets et durées de conservation</w:t>
            </w:r>
          </w:p>
        </w:tc>
      </w:tr>
      <w:tr w:rsidR="00ED107C" w:rsidRPr="003C36B5" w:rsidTr="003C36B5">
        <w:tc>
          <w:tcPr>
            <w:tcW w:w="247" w:type="dxa"/>
            <w:shd w:val="clear" w:color="auto" w:fill="auto"/>
          </w:tcPr>
          <w:p w:rsidR="00ED107C" w:rsidRPr="003C36B5" w:rsidRDefault="003C36B5" w:rsidP="003C36B5">
            <w:pPr>
              <w:pStyle w:val="Compact"/>
              <w:spacing w:before="20" w:after="20"/>
              <w:rPr>
                <w:sz w:val="16"/>
              </w:rPr>
            </w:pPr>
            <w:r w:rsidRPr="003C36B5">
              <w:rPr>
                <w:sz w:val="16"/>
              </w:rPr>
              <w:t>7</w:t>
            </w:r>
          </w:p>
        </w:tc>
        <w:tc>
          <w:tcPr>
            <w:tcW w:w="1485" w:type="dxa"/>
            <w:shd w:val="clear" w:color="auto" w:fill="auto"/>
          </w:tcPr>
          <w:p w:rsidR="00ED107C" w:rsidRPr="003C36B5" w:rsidRDefault="003C36B5" w:rsidP="003C36B5">
            <w:pPr>
              <w:pStyle w:val="Compact"/>
              <w:spacing w:before="20" w:after="20"/>
              <w:rPr>
                <w:sz w:val="16"/>
              </w:rPr>
            </w:pPr>
            <w:r w:rsidRPr="003C36B5">
              <w:rPr>
                <w:sz w:val="16"/>
              </w:rPr>
              <w:t>User Rights</w:t>
            </w:r>
          </w:p>
        </w:tc>
        <w:tc>
          <w:tcPr>
            <w:tcW w:w="6187" w:type="dxa"/>
            <w:shd w:val="clear" w:color="auto" w:fill="auto"/>
          </w:tcPr>
          <w:p w:rsidR="00ED107C" w:rsidRPr="003C36B5" w:rsidRDefault="003C36B5" w:rsidP="003C36B5">
            <w:pPr>
              <w:pStyle w:val="Compact"/>
              <w:spacing w:before="20" w:after="20"/>
              <w:rPr>
                <w:sz w:val="16"/>
              </w:rPr>
            </w:pPr>
            <w:r w:rsidRPr="003C36B5">
              <w:rPr>
                <w:sz w:val="16"/>
              </w:rPr>
              <w:t>Exercice des droits en libre-service et via la Privacy Team, dans les délais légaux</w:t>
            </w:r>
          </w:p>
        </w:tc>
      </w:tr>
      <w:tr w:rsidR="00ED107C" w:rsidRPr="003C36B5" w:rsidTr="003C36B5">
        <w:tc>
          <w:tcPr>
            <w:tcW w:w="247" w:type="dxa"/>
            <w:shd w:val="clear" w:color="auto" w:fill="auto"/>
          </w:tcPr>
          <w:p w:rsidR="00ED107C" w:rsidRPr="003C36B5" w:rsidRDefault="003C36B5" w:rsidP="003C36B5">
            <w:pPr>
              <w:pStyle w:val="Compact"/>
              <w:spacing w:before="20" w:after="20"/>
              <w:rPr>
                <w:sz w:val="16"/>
              </w:rPr>
            </w:pPr>
            <w:r w:rsidRPr="003C36B5">
              <w:rPr>
                <w:sz w:val="16"/>
              </w:rPr>
              <w:t>8</w:t>
            </w:r>
          </w:p>
        </w:tc>
        <w:tc>
          <w:tcPr>
            <w:tcW w:w="1485" w:type="dxa"/>
            <w:shd w:val="clear" w:color="auto" w:fill="auto"/>
          </w:tcPr>
          <w:p w:rsidR="00ED107C" w:rsidRPr="003C36B5" w:rsidRDefault="003C36B5" w:rsidP="003C36B5">
            <w:pPr>
              <w:pStyle w:val="Compact"/>
              <w:spacing w:before="20" w:after="20"/>
              <w:rPr>
                <w:sz w:val="16"/>
              </w:rPr>
            </w:pPr>
            <w:r w:rsidRPr="003C36B5">
              <w:rPr>
                <w:sz w:val="16"/>
              </w:rPr>
              <w:t>Continuous Improvement</w:t>
            </w:r>
          </w:p>
        </w:tc>
        <w:tc>
          <w:tcPr>
            <w:tcW w:w="6187" w:type="dxa"/>
            <w:shd w:val="clear" w:color="auto" w:fill="auto"/>
          </w:tcPr>
          <w:p w:rsidR="00ED107C" w:rsidRPr="003C36B5" w:rsidRDefault="003C36B5" w:rsidP="003C36B5">
            <w:pPr>
              <w:pStyle w:val="Compact"/>
              <w:spacing w:before="20" w:after="20"/>
              <w:rPr>
                <w:sz w:val="16"/>
              </w:rPr>
            </w:pPr>
            <w:r w:rsidRPr="003C36B5">
              <w:rPr>
                <w:sz w:val="16"/>
              </w:rPr>
              <w:t>Revue annuelle de la politique, retours du Committee et des équipes</w:t>
            </w:r>
          </w:p>
        </w:tc>
      </w:tr>
      <w:tr w:rsidR="00ED107C" w:rsidRPr="003C36B5" w:rsidTr="003C36B5">
        <w:tc>
          <w:tcPr>
            <w:tcW w:w="247" w:type="dxa"/>
            <w:shd w:val="clear" w:color="auto" w:fill="auto"/>
          </w:tcPr>
          <w:p w:rsidR="00ED107C" w:rsidRPr="003C36B5" w:rsidRDefault="003C36B5" w:rsidP="003C36B5">
            <w:pPr>
              <w:pStyle w:val="Compact"/>
              <w:spacing w:before="20" w:after="20"/>
              <w:rPr>
                <w:sz w:val="16"/>
              </w:rPr>
            </w:pPr>
            <w:r w:rsidRPr="003C36B5">
              <w:rPr>
                <w:sz w:val="16"/>
              </w:rPr>
              <w:t>9</w:t>
            </w:r>
          </w:p>
        </w:tc>
        <w:tc>
          <w:tcPr>
            <w:tcW w:w="1485" w:type="dxa"/>
            <w:shd w:val="clear" w:color="auto" w:fill="auto"/>
          </w:tcPr>
          <w:p w:rsidR="00ED107C" w:rsidRPr="003C36B5" w:rsidRDefault="003C36B5" w:rsidP="003C36B5">
            <w:pPr>
              <w:pStyle w:val="Compact"/>
              <w:spacing w:before="20" w:after="20"/>
              <w:rPr>
                <w:sz w:val="16"/>
              </w:rPr>
            </w:pPr>
            <w:r w:rsidRPr="003C36B5">
              <w:rPr>
                <w:sz w:val="16"/>
              </w:rPr>
              <w:t>Ethical Use</w:t>
            </w:r>
          </w:p>
        </w:tc>
        <w:tc>
          <w:tcPr>
            <w:tcW w:w="6187" w:type="dxa"/>
            <w:shd w:val="clear" w:color="auto" w:fill="auto"/>
          </w:tcPr>
          <w:p w:rsidR="00ED107C" w:rsidRPr="003C36B5" w:rsidRDefault="003C36B5" w:rsidP="003C36B5">
            <w:pPr>
              <w:pStyle w:val="Compact"/>
              <w:spacing w:before="20" w:after="20"/>
              <w:rPr>
                <w:sz w:val="16"/>
              </w:rPr>
            </w:pPr>
            <w:r w:rsidRPr="003C36B5">
              <w:rPr>
                <w:sz w:val="16"/>
              </w:rPr>
              <w:t>Audit des biais de recommandation, explicabilité, pas de profilage sur catégories sensibles inférées</w:t>
            </w:r>
          </w:p>
        </w:tc>
      </w:tr>
    </w:tbl>
    <w:p w:rsidR="00ED107C" w:rsidRDefault="003C36B5">
      <w:pPr>
        <w:pStyle w:val="Titre2"/>
      </w:pPr>
      <w:bookmarkStart w:id="19" w:name="qualité-des-données"/>
      <w:bookmarkStart w:id="20" w:name="_Toc240702661"/>
      <w:bookmarkEnd w:id="17"/>
      <w:r>
        <w:t>3. Qualité des données</w:t>
      </w:r>
      <w:bookmarkEnd w:id="20"/>
    </w:p>
    <w:p w:rsidR="00ED107C" w:rsidRDefault="003C36B5">
      <w:pPr>
        <w:pStyle w:val="FirstParagraph"/>
      </w:pPr>
      <w:r>
        <w:t>Chaque domaine mesure quatre critères, avec une baseline établie avant toute cible :</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222"/>
        <w:gridCol w:w="3668"/>
        <w:gridCol w:w="2649"/>
        <w:gridCol w:w="2649"/>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95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Critère</w:t>
            </w:r>
          </w:p>
        </w:tc>
        <w:tc>
          <w:tcPr>
            <w:tcW w:w="2851"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Définition</w:t>
            </w:r>
          </w:p>
        </w:tc>
        <w:tc>
          <w:tcPr>
            <w:tcW w:w="2059"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Cible</w:t>
            </w:r>
          </w:p>
        </w:tc>
        <w:tc>
          <w:tcPr>
            <w:tcW w:w="2059"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Mesure</w:t>
            </w:r>
          </w:p>
        </w:tc>
      </w:tr>
      <w:tr w:rsidR="00ED107C" w:rsidRPr="003C36B5" w:rsidTr="003C36B5">
        <w:tc>
          <w:tcPr>
            <w:tcW w:w="950" w:type="dxa"/>
            <w:shd w:val="clear" w:color="auto" w:fill="auto"/>
          </w:tcPr>
          <w:p w:rsidR="00ED107C" w:rsidRPr="003C36B5" w:rsidRDefault="003C36B5" w:rsidP="003C36B5">
            <w:pPr>
              <w:pStyle w:val="Compact"/>
              <w:spacing w:before="20" w:after="20"/>
              <w:rPr>
                <w:sz w:val="16"/>
              </w:rPr>
            </w:pPr>
            <w:r w:rsidRPr="003C36B5">
              <w:rPr>
                <w:sz w:val="16"/>
              </w:rPr>
              <w:t>Complétude</w:t>
            </w:r>
          </w:p>
        </w:tc>
        <w:tc>
          <w:tcPr>
            <w:tcW w:w="2851" w:type="dxa"/>
            <w:shd w:val="clear" w:color="auto" w:fill="auto"/>
          </w:tcPr>
          <w:p w:rsidR="00ED107C" w:rsidRPr="003C36B5" w:rsidRDefault="003C36B5" w:rsidP="003C36B5">
            <w:pPr>
              <w:pStyle w:val="Compact"/>
              <w:spacing w:before="20" w:after="20"/>
              <w:rPr>
                <w:sz w:val="16"/>
              </w:rPr>
            </w:pPr>
            <w:r w:rsidRPr="003C36B5">
              <w:rPr>
                <w:sz w:val="16"/>
              </w:rPr>
              <w:t>Ch</w:t>
            </w:r>
            <w:r w:rsidRPr="003C36B5">
              <w:rPr>
                <w:sz w:val="16"/>
              </w:rPr>
              <w:t>amps obligatoires renseignés</w:t>
            </w:r>
          </w:p>
        </w:tc>
        <w:tc>
          <w:tcPr>
            <w:tcW w:w="2059" w:type="dxa"/>
            <w:shd w:val="clear" w:color="auto" w:fill="auto"/>
          </w:tcPr>
          <w:p w:rsidR="00ED107C" w:rsidRPr="003C36B5" w:rsidRDefault="003C36B5" w:rsidP="003C36B5">
            <w:pPr>
              <w:pStyle w:val="Compact"/>
              <w:spacing w:before="20" w:after="20"/>
              <w:rPr>
                <w:sz w:val="16"/>
              </w:rPr>
            </w:pPr>
            <w:r w:rsidRPr="003C36B5">
              <w:rPr>
                <w:sz w:val="16"/>
              </w:rPr>
              <w:t>&gt; 98 %</w:t>
            </w:r>
          </w:p>
        </w:tc>
        <w:tc>
          <w:tcPr>
            <w:tcW w:w="2059" w:type="dxa"/>
            <w:shd w:val="clear" w:color="auto" w:fill="auto"/>
          </w:tcPr>
          <w:p w:rsidR="00ED107C" w:rsidRPr="003C36B5" w:rsidRDefault="003C36B5" w:rsidP="003C36B5">
            <w:pPr>
              <w:pStyle w:val="Compact"/>
              <w:spacing w:before="20" w:after="20"/>
              <w:rPr>
                <w:sz w:val="16"/>
              </w:rPr>
            </w:pPr>
            <w:r w:rsidRPr="003C36B5">
              <w:rPr>
                <w:sz w:val="16"/>
              </w:rPr>
              <w:t>Great Expectations dans les pipelines</w:t>
            </w:r>
          </w:p>
        </w:tc>
      </w:tr>
      <w:tr w:rsidR="00ED107C" w:rsidRPr="003C36B5" w:rsidTr="003C36B5">
        <w:tc>
          <w:tcPr>
            <w:tcW w:w="950" w:type="dxa"/>
            <w:shd w:val="clear" w:color="auto" w:fill="auto"/>
          </w:tcPr>
          <w:p w:rsidR="00ED107C" w:rsidRPr="003C36B5" w:rsidRDefault="003C36B5" w:rsidP="003C36B5">
            <w:pPr>
              <w:pStyle w:val="Compact"/>
              <w:spacing w:before="20" w:after="20"/>
              <w:rPr>
                <w:sz w:val="16"/>
              </w:rPr>
            </w:pPr>
            <w:r w:rsidRPr="003C36B5">
              <w:rPr>
                <w:sz w:val="16"/>
              </w:rPr>
              <w:t>Exactitude</w:t>
            </w:r>
          </w:p>
        </w:tc>
        <w:tc>
          <w:tcPr>
            <w:tcW w:w="2851" w:type="dxa"/>
            <w:shd w:val="clear" w:color="auto" w:fill="auto"/>
          </w:tcPr>
          <w:p w:rsidR="00ED107C" w:rsidRPr="003C36B5" w:rsidRDefault="003C36B5" w:rsidP="003C36B5">
            <w:pPr>
              <w:pStyle w:val="Compact"/>
              <w:spacing w:before="20" w:after="20"/>
              <w:rPr>
                <w:sz w:val="16"/>
              </w:rPr>
            </w:pPr>
            <w:r w:rsidRPr="003C36B5">
              <w:rPr>
                <w:sz w:val="16"/>
              </w:rPr>
              <w:t>Conformité aux formats et référentiels (ex. ISRC valide)</w:t>
            </w:r>
          </w:p>
        </w:tc>
        <w:tc>
          <w:tcPr>
            <w:tcW w:w="2059" w:type="dxa"/>
            <w:shd w:val="clear" w:color="auto" w:fill="auto"/>
          </w:tcPr>
          <w:p w:rsidR="00ED107C" w:rsidRPr="003C36B5" w:rsidRDefault="003C36B5" w:rsidP="003C36B5">
            <w:pPr>
              <w:pStyle w:val="Compact"/>
              <w:spacing w:before="20" w:after="20"/>
              <w:rPr>
                <w:sz w:val="16"/>
              </w:rPr>
            </w:pPr>
            <w:r w:rsidRPr="003C36B5">
              <w:rPr>
                <w:sz w:val="16"/>
              </w:rPr>
              <w:t>&gt; 99 %</w:t>
            </w:r>
          </w:p>
        </w:tc>
        <w:tc>
          <w:tcPr>
            <w:tcW w:w="2059" w:type="dxa"/>
            <w:shd w:val="clear" w:color="auto" w:fill="auto"/>
          </w:tcPr>
          <w:p w:rsidR="00ED107C" w:rsidRPr="003C36B5" w:rsidRDefault="003C36B5" w:rsidP="003C36B5">
            <w:pPr>
              <w:pStyle w:val="Compact"/>
              <w:spacing w:before="20" w:after="20"/>
              <w:rPr>
                <w:sz w:val="16"/>
              </w:rPr>
            </w:pPr>
            <w:r w:rsidRPr="003C36B5">
              <w:rPr>
                <w:sz w:val="16"/>
              </w:rPr>
              <w:t>Great Expectations</w:t>
            </w:r>
          </w:p>
        </w:tc>
      </w:tr>
      <w:tr w:rsidR="00ED107C" w:rsidRPr="003C36B5" w:rsidTr="003C36B5">
        <w:tc>
          <w:tcPr>
            <w:tcW w:w="950" w:type="dxa"/>
            <w:shd w:val="clear" w:color="auto" w:fill="auto"/>
          </w:tcPr>
          <w:p w:rsidR="00ED107C" w:rsidRPr="003C36B5" w:rsidRDefault="003C36B5" w:rsidP="003C36B5">
            <w:pPr>
              <w:pStyle w:val="Compact"/>
              <w:spacing w:before="20" w:after="20"/>
              <w:rPr>
                <w:sz w:val="16"/>
              </w:rPr>
            </w:pPr>
            <w:r w:rsidRPr="003C36B5">
              <w:rPr>
                <w:sz w:val="16"/>
              </w:rPr>
              <w:t>Cohérence</w:t>
            </w:r>
          </w:p>
        </w:tc>
        <w:tc>
          <w:tcPr>
            <w:tcW w:w="2851" w:type="dxa"/>
            <w:shd w:val="clear" w:color="auto" w:fill="auto"/>
          </w:tcPr>
          <w:p w:rsidR="00ED107C" w:rsidRPr="003C36B5" w:rsidRDefault="003C36B5" w:rsidP="003C36B5">
            <w:pPr>
              <w:pStyle w:val="Compact"/>
              <w:spacing w:before="20" w:after="20"/>
              <w:rPr>
                <w:sz w:val="16"/>
              </w:rPr>
            </w:pPr>
            <w:r w:rsidRPr="003C36B5">
              <w:rPr>
                <w:sz w:val="16"/>
              </w:rPr>
              <w:t>Une seule définition par métrique (glossaire métier)</w:t>
            </w:r>
          </w:p>
        </w:tc>
        <w:tc>
          <w:tcPr>
            <w:tcW w:w="2059" w:type="dxa"/>
            <w:shd w:val="clear" w:color="auto" w:fill="auto"/>
          </w:tcPr>
          <w:p w:rsidR="00ED107C" w:rsidRPr="003C36B5" w:rsidRDefault="003C36B5" w:rsidP="003C36B5">
            <w:pPr>
              <w:pStyle w:val="Compact"/>
              <w:spacing w:before="20" w:after="20"/>
              <w:rPr>
                <w:sz w:val="16"/>
              </w:rPr>
            </w:pPr>
            <w:r w:rsidRPr="003C36B5">
              <w:rPr>
                <w:sz w:val="16"/>
              </w:rPr>
              <w:t>100 % des métriques du glossaire</w:t>
            </w:r>
          </w:p>
        </w:tc>
        <w:tc>
          <w:tcPr>
            <w:tcW w:w="2059" w:type="dxa"/>
            <w:shd w:val="clear" w:color="auto" w:fill="auto"/>
          </w:tcPr>
          <w:p w:rsidR="00ED107C" w:rsidRPr="003C36B5" w:rsidRDefault="003C36B5" w:rsidP="003C36B5">
            <w:pPr>
              <w:pStyle w:val="Compact"/>
              <w:spacing w:before="20" w:after="20"/>
              <w:rPr>
                <w:sz w:val="16"/>
              </w:rPr>
            </w:pPr>
            <w:r w:rsidRPr="003C36B5">
              <w:rPr>
                <w:sz w:val="16"/>
              </w:rPr>
              <w:t>Catalogue de données</w:t>
            </w:r>
          </w:p>
        </w:tc>
      </w:tr>
      <w:tr w:rsidR="00ED107C" w:rsidRPr="003C36B5" w:rsidTr="003C36B5">
        <w:tc>
          <w:tcPr>
            <w:tcW w:w="950" w:type="dxa"/>
            <w:shd w:val="clear" w:color="auto" w:fill="auto"/>
          </w:tcPr>
          <w:p w:rsidR="00ED107C" w:rsidRPr="003C36B5" w:rsidRDefault="003C36B5" w:rsidP="003C36B5">
            <w:pPr>
              <w:pStyle w:val="Compact"/>
              <w:spacing w:before="20" w:after="20"/>
              <w:rPr>
                <w:sz w:val="16"/>
              </w:rPr>
            </w:pPr>
            <w:r w:rsidRPr="003C36B5">
              <w:rPr>
                <w:sz w:val="16"/>
              </w:rPr>
              <w:t>Fraîcheur</w:t>
            </w:r>
          </w:p>
        </w:tc>
        <w:tc>
          <w:tcPr>
            <w:tcW w:w="2851" w:type="dxa"/>
            <w:shd w:val="clear" w:color="auto" w:fill="auto"/>
          </w:tcPr>
          <w:p w:rsidR="00ED107C" w:rsidRPr="003C36B5" w:rsidRDefault="003C36B5" w:rsidP="003C36B5">
            <w:pPr>
              <w:pStyle w:val="Compact"/>
              <w:spacing w:before="20" w:after="20"/>
              <w:rPr>
                <w:sz w:val="16"/>
              </w:rPr>
            </w:pPr>
            <w:r w:rsidRPr="003C36B5">
              <w:rPr>
                <w:sz w:val="16"/>
              </w:rPr>
              <w:t>Délai production → disponibilité</w:t>
            </w:r>
          </w:p>
        </w:tc>
        <w:tc>
          <w:tcPr>
            <w:tcW w:w="2059" w:type="dxa"/>
            <w:shd w:val="clear" w:color="auto" w:fill="auto"/>
          </w:tcPr>
          <w:p w:rsidR="00ED107C" w:rsidRPr="003C36B5" w:rsidRDefault="003C36B5" w:rsidP="003C36B5">
            <w:pPr>
              <w:pStyle w:val="Compact"/>
              <w:spacing w:before="20" w:after="20"/>
              <w:rPr>
                <w:sz w:val="16"/>
              </w:rPr>
            </w:pPr>
            <w:r w:rsidRPr="003C36B5">
              <w:rPr>
                <w:sz w:val="16"/>
              </w:rPr>
              <w:t>&lt; 1 h pour les flux temps réel</w:t>
            </w:r>
          </w:p>
        </w:tc>
        <w:tc>
          <w:tcPr>
            <w:tcW w:w="2059" w:type="dxa"/>
            <w:shd w:val="clear" w:color="auto" w:fill="auto"/>
          </w:tcPr>
          <w:p w:rsidR="00ED107C" w:rsidRPr="003C36B5" w:rsidRDefault="003C36B5" w:rsidP="003C36B5">
            <w:pPr>
              <w:pStyle w:val="Compact"/>
              <w:spacing w:before="20" w:after="20"/>
              <w:rPr>
                <w:sz w:val="16"/>
              </w:rPr>
            </w:pPr>
            <w:r w:rsidRPr="003C36B5">
              <w:rPr>
                <w:sz w:val="16"/>
              </w:rPr>
              <w:t>Observabilité (phase 4)</w:t>
            </w:r>
          </w:p>
        </w:tc>
      </w:tr>
    </w:tbl>
    <w:p w:rsidR="00ED107C" w:rsidRDefault="003C36B5">
      <w:pPr>
        <w:pStyle w:val="Corpsdetexte"/>
      </w:pPr>
      <w:r>
        <w:t xml:space="preserve">Les Data Stewards publient les scores mensuellement au Data Governance Committee. Un dataset critique </w:t>
      </w:r>
      <w:r>
        <w:t>sous la cible deux mois de suite déclenche un plan de remédiation.</w:t>
      </w:r>
    </w:p>
    <w:p w:rsidR="00ED107C" w:rsidRDefault="003C36B5">
      <w:pPr>
        <w:pStyle w:val="Titre2"/>
      </w:pPr>
      <w:bookmarkStart w:id="21" w:name="Xb52db3c9b1b1770e5f738e40ff894c06fcdcbe0"/>
      <w:bookmarkStart w:id="22" w:name="_Toc240702662"/>
      <w:bookmarkEnd w:id="19"/>
      <w:r>
        <w:t>4. Sécurité, classification, accès et cycle de vie</w:t>
      </w:r>
      <w:bookmarkEnd w:id="22"/>
    </w:p>
    <w:p w:rsidR="00ED107C" w:rsidRDefault="003C36B5">
      <w:pPr>
        <w:pStyle w:val="FirstParagraph"/>
      </w:pPr>
      <w:r>
        <w:rPr>
          <w:b/>
          <w:bCs/>
        </w:rPr>
        <w:t>Classification</w:t>
      </w:r>
      <w:r>
        <w:t xml:space="preserve"> (obligatoire pour tout dataset catalogué) :</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274"/>
        <w:gridCol w:w="3608"/>
        <w:gridCol w:w="5306"/>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99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Classe</w:t>
            </w:r>
          </w:p>
        </w:tc>
        <w:tc>
          <w:tcPr>
            <w:tcW w:w="280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Exemples</w:t>
            </w:r>
          </w:p>
        </w:tc>
        <w:tc>
          <w:tcPr>
            <w:tcW w:w="412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Protection minimale</w:t>
            </w:r>
          </w:p>
        </w:tc>
      </w:tr>
      <w:tr w:rsidR="00ED107C" w:rsidRPr="003C36B5" w:rsidTr="003C36B5">
        <w:tc>
          <w:tcPr>
            <w:tcW w:w="990" w:type="dxa"/>
            <w:shd w:val="clear" w:color="auto" w:fill="auto"/>
          </w:tcPr>
          <w:p w:rsidR="00ED107C" w:rsidRPr="003C36B5" w:rsidRDefault="003C36B5" w:rsidP="003C36B5">
            <w:pPr>
              <w:pStyle w:val="Compact"/>
              <w:spacing w:before="20" w:after="20"/>
              <w:rPr>
                <w:sz w:val="16"/>
              </w:rPr>
            </w:pPr>
            <w:r w:rsidRPr="003C36B5">
              <w:rPr>
                <w:sz w:val="16"/>
              </w:rPr>
              <w:t>Publique</w:t>
            </w:r>
          </w:p>
        </w:tc>
        <w:tc>
          <w:tcPr>
            <w:tcW w:w="2805" w:type="dxa"/>
            <w:shd w:val="clear" w:color="auto" w:fill="auto"/>
          </w:tcPr>
          <w:p w:rsidR="00ED107C" w:rsidRPr="003C36B5" w:rsidRDefault="003C36B5" w:rsidP="003C36B5">
            <w:pPr>
              <w:pStyle w:val="Compact"/>
              <w:spacing w:before="20" w:after="20"/>
              <w:rPr>
                <w:sz w:val="16"/>
              </w:rPr>
            </w:pPr>
            <w:r w:rsidRPr="003C36B5">
              <w:rPr>
                <w:sz w:val="16"/>
              </w:rPr>
              <w:t>Catalogue musical</w:t>
            </w:r>
          </w:p>
        </w:tc>
        <w:tc>
          <w:tcPr>
            <w:tcW w:w="4125" w:type="dxa"/>
            <w:shd w:val="clear" w:color="auto" w:fill="auto"/>
          </w:tcPr>
          <w:p w:rsidR="00ED107C" w:rsidRPr="003C36B5" w:rsidRDefault="003C36B5" w:rsidP="003C36B5">
            <w:pPr>
              <w:pStyle w:val="Compact"/>
              <w:spacing w:before="20" w:after="20"/>
              <w:rPr>
                <w:sz w:val="16"/>
              </w:rPr>
            </w:pPr>
            <w:r w:rsidRPr="003C36B5">
              <w:rPr>
                <w:sz w:val="16"/>
              </w:rPr>
              <w:t>Aucune restriction</w:t>
            </w:r>
          </w:p>
        </w:tc>
      </w:tr>
      <w:tr w:rsidR="00ED107C" w:rsidRPr="003C36B5" w:rsidTr="003C36B5">
        <w:tc>
          <w:tcPr>
            <w:tcW w:w="990" w:type="dxa"/>
            <w:shd w:val="clear" w:color="auto" w:fill="auto"/>
          </w:tcPr>
          <w:p w:rsidR="00ED107C" w:rsidRPr="003C36B5" w:rsidRDefault="003C36B5" w:rsidP="003C36B5">
            <w:pPr>
              <w:pStyle w:val="Compact"/>
              <w:spacing w:before="20" w:after="20"/>
              <w:rPr>
                <w:sz w:val="16"/>
              </w:rPr>
            </w:pPr>
            <w:r w:rsidRPr="003C36B5">
              <w:rPr>
                <w:sz w:val="16"/>
              </w:rPr>
              <w:lastRenderedPageBreak/>
              <w:t>Interne</w:t>
            </w:r>
          </w:p>
        </w:tc>
        <w:tc>
          <w:tcPr>
            <w:tcW w:w="2805" w:type="dxa"/>
            <w:shd w:val="clear" w:color="auto" w:fill="auto"/>
          </w:tcPr>
          <w:p w:rsidR="00ED107C" w:rsidRPr="003C36B5" w:rsidRDefault="003C36B5" w:rsidP="003C36B5">
            <w:pPr>
              <w:pStyle w:val="Compact"/>
              <w:spacing w:before="20" w:after="20"/>
              <w:rPr>
                <w:sz w:val="16"/>
              </w:rPr>
            </w:pPr>
            <w:r w:rsidRPr="003C36B5">
              <w:rPr>
                <w:sz w:val="16"/>
              </w:rPr>
              <w:t>Métriques business, rapports</w:t>
            </w:r>
          </w:p>
        </w:tc>
        <w:tc>
          <w:tcPr>
            <w:tcW w:w="4125" w:type="dxa"/>
            <w:shd w:val="clear" w:color="auto" w:fill="auto"/>
          </w:tcPr>
          <w:p w:rsidR="00ED107C" w:rsidRPr="003C36B5" w:rsidRDefault="003C36B5" w:rsidP="003C36B5">
            <w:pPr>
              <w:pStyle w:val="Compact"/>
              <w:spacing w:before="20" w:after="20"/>
              <w:rPr>
                <w:sz w:val="16"/>
              </w:rPr>
            </w:pPr>
            <w:r w:rsidRPr="003C36B5">
              <w:rPr>
                <w:sz w:val="16"/>
              </w:rPr>
              <w:t>Employés authentifiés</w:t>
            </w:r>
          </w:p>
        </w:tc>
      </w:tr>
      <w:tr w:rsidR="00ED107C" w:rsidRPr="003C36B5" w:rsidTr="003C36B5">
        <w:tc>
          <w:tcPr>
            <w:tcW w:w="990" w:type="dxa"/>
            <w:shd w:val="clear" w:color="auto" w:fill="auto"/>
          </w:tcPr>
          <w:p w:rsidR="00ED107C" w:rsidRPr="003C36B5" w:rsidRDefault="003C36B5" w:rsidP="003C36B5">
            <w:pPr>
              <w:pStyle w:val="Compact"/>
              <w:spacing w:before="20" w:after="20"/>
              <w:rPr>
                <w:sz w:val="16"/>
              </w:rPr>
            </w:pPr>
            <w:r w:rsidRPr="003C36B5">
              <w:rPr>
                <w:sz w:val="16"/>
              </w:rPr>
              <w:t>Confidentielle</w:t>
            </w:r>
          </w:p>
        </w:tc>
        <w:tc>
          <w:tcPr>
            <w:tcW w:w="2805" w:type="dxa"/>
            <w:shd w:val="clear" w:color="auto" w:fill="auto"/>
          </w:tcPr>
          <w:p w:rsidR="00ED107C" w:rsidRPr="003C36B5" w:rsidRDefault="003C36B5" w:rsidP="003C36B5">
            <w:pPr>
              <w:pStyle w:val="Compact"/>
              <w:spacing w:before="20" w:after="20"/>
              <w:rPr>
                <w:sz w:val="16"/>
              </w:rPr>
            </w:pPr>
            <w:r w:rsidRPr="003C36B5">
              <w:rPr>
                <w:sz w:val="16"/>
              </w:rPr>
              <w:t>Historiques d’écoute, profils, segments</w:t>
            </w:r>
          </w:p>
        </w:tc>
        <w:tc>
          <w:tcPr>
            <w:tcW w:w="4125" w:type="dxa"/>
            <w:shd w:val="clear" w:color="auto" w:fill="auto"/>
          </w:tcPr>
          <w:p w:rsidR="00ED107C" w:rsidRPr="003C36B5" w:rsidRDefault="003C36B5" w:rsidP="003C36B5">
            <w:pPr>
              <w:pStyle w:val="Compact"/>
              <w:spacing w:before="20" w:after="20"/>
              <w:rPr>
                <w:sz w:val="16"/>
              </w:rPr>
            </w:pPr>
            <w:r w:rsidRPr="003C36B5">
              <w:rPr>
                <w:sz w:val="16"/>
              </w:rPr>
              <w:t>Chiffrement au repos et en transit, accès par rôle, pseudonymisation pour l’analytics</w:t>
            </w:r>
          </w:p>
        </w:tc>
      </w:tr>
      <w:tr w:rsidR="00ED107C" w:rsidRPr="003C36B5" w:rsidTr="003C36B5">
        <w:tc>
          <w:tcPr>
            <w:tcW w:w="990" w:type="dxa"/>
            <w:shd w:val="clear" w:color="auto" w:fill="auto"/>
          </w:tcPr>
          <w:p w:rsidR="00ED107C" w:rsidRPr="003C36B5" w:rsidRDefault="003C36B5" w:rsidP="003C36B5">
            <w:pPr>
              <w:pStyle w:val="Compact"/>
              <w:spacing w:before="20" w:after="20"/>
              <w:rPr>
                <w:sz w:val="16"/>
              </w:rPr>
            </w:pPr>
            <w:r w:rsidRPr="003C36B5">
              <w:rPr>
                <w:sz w:val="16"/>
              </w:rPr>
              <w:t>Sensible</w:t>
            </w:r>
          </w:p>
        </w:tc>
        <w:tc>
          <w:tcPr>
            <w:tcW w:w="2805" w:type="dxa"/>
            <w:shd w:val="clear" w:color="auto" w:fill="auto"/>
          </w:tcPr>
          <w:p w:rsidR="00ED107C" w:rsidRPr="003C36B5" w:rsidRDefault="003C36B5" w:rsidP="003C36B5">
            <w:pPr>
              <w:pStyle w:val="Compact"/>
              <w:spacing w:before="20" w:after="20"/>
              <w:rPr>
                <w:sz w:val="16"/>
              </w:rPr>
            </w:pPr>
            <w:r w:rsidRPr="003C36B5">
              <w:rPr>
                <w:sz w:val="16"/>
              </w:rPr>
              <w:t>Paiements, données inférées art. 9, mineurs</w:t>
            </w:r>
          </w:p>
        </w:tc>
        <w:tc>
          <w:tcPr>
            <w:tcW w:w="4125" w:type="dxa"/>
            <w:shd w:val="clear" w:color="auto" w:fill="auto"/>
          </w:tcPr>
          <w:p w:rsidR="00ED107C" w:rsidRPr="003C36B5" w:rsidRDefault="003C36B5" w:rsidP="003C36B5">
            <w:pPr>
              <w:pStyle w:val="Compact"/>
              <w:spacing w:before="20" w:after="20"/>
              <w:rPr>
                <w:sz w:val="16"/>
              </w:rPr>
            </w:pPr>
            <w:r w:rsidRPr="003C36B5">
              <w:rPr>
                <w:sz w:val="16"/>
              </w:rPr>
              <w:t>Chiffrement renforcé, accès nominatif minimal, journalisation obligatoire, DPIA</w:t>
            </w:r>
          </w:p>
        </w:tc>
      </w:tr>
    </w:tbl>
    <w:p w:rsidR="00ED107C" w:rsidRDefault="003C36B5">
      <w:pPr>
        <w:pStyle w:val="Corpsdetexte"/>
      </w:pPr>
      <w:r>
        <w:rPr>
          <w:b/>
          <w:bCs/>
        </w:rPr>
        <w:t>Accès et partage.</w:t>
      </w:r>
      <w:r>
        <w:t xml:space="preserve"> L’accès se demande via le catalogue de données, il est accordé par le Data Steward du domaine selon la classe et </w:t>
      </w:r>
      <w:r>
        <w:t xml:space="preserve">le besoin (principe du moindre privilège), et il est revu trimestriellement. Le partage inter-départements se fait sur données </w:t>
      </w:r>
      <w:r>
        <w:rPr>
          <w:b/>
          <w:bCs/>
        </w:rPr>
        <w:t>pseudonymisées ou agrégées par défaut</w:t>
      </w:r>
      <w:r>
        <w:t xml:space="preserve"> ; l’accès aux données identifiantes exige une finalité documentée. Aucun export de données </w:t>
      </w:r>
      <w:r>
        <w:t>confidentielles ou sensibles hors des plateformes gouvernées.</w:t>
      </w:r>
    </w:p>
    <w:p w:rsidR="00ED107C" w:rsidRDefault="003C36B5">
      <w:pPr>
        <w:pStyle w:val="Corpsdetexte"/>
      </w:pPr>
      <w:r>
        <w:rPr>
          <w:b/>
          <w:bCs/>
        </w:rPr>
        <w:t>Cycle de vie (POSMAD : Plan, Obtain, Store &amp; Share, Maintain, Apply, Dispose).</w:t>
      </w:r>
      <w:r>
        <w:t xml:space="preserve"> Chaque dataset a une durée de conservation définie par son steward avec le DPO et inscrite au catalogue. Repères in</w:t>
      </w:r>
      <w:r>
        <w:t>itiaux : logs d’écoute bruts identifiants 13 mois puis agrégation, données de compte pendant la relation contractuelle + délais légaux, données de paiement selon obligations comptables (sans stockage de numéro de carte chez Spotify), données marketing jusq</w:t>
      </w:r>
      <w:r>
        <w:t>u’au retrait du consentement. À échéance : suppression ou anonymisation irréversible.</w:t>
      </w:r>
    </w:p>
    <w:p w:rsidR="00ED107C" w:rsidRDefault="003C36B5">
      <w:pPr>
        <w:pStyle w:val="Corpsdetexte"/>
      </w:pPr>
      <w:r>
        <w:rPr>
          <w:b/>
          <w:bCs/>
        </w:rPr>
        <w:t>Sécurité opérationnelle.</w:t>
      </w:r>
      <w:r>
        <w:t xml:space="preserve"> </w:t>
      </w:r>
      <w:r>
        <w:t>Chiffrement systématique des classes Confidentielle et Sensible ; authentification forte ; journalisation centralisée dans le SIEM ; protocole d’incident piloté par le DPO (qualification sous 24 h, notification autorité sous 72 h, information des personnes</w:t>
      </w:r>
      <w:r>
        <w:t xml:space="preserve"> si risque élevé) ; exercice annuel.</w:t>
      </w:r>
    </w:p>
    <w:p w:rsidR="00ED107C" w:rsidRDefault="003C36B5">
      <w:pPr>
        <w:pStyle w:val="Titre2"/>
      </w:pPr>
      <w:bookmarkStart w:id="23" w:name="conformité-réglementaire"/>
      <w:bookmarkStart w:id="24" w:name="_Toc240702663"/>
      <w:bookmarkEnd w:id="21"/>
      <w:r>
        <w:t>5. Conformité réglementaire</w:t>
      </w:r>
      <w:bookmarkEnd w:id="24"/>
    </w:p>
    <w:p w:rsidR="00ED107C" w:rsidRDefault="003C36B5">
      <w:pPr>
        <w:pStyle w:val="FirstParagraph"/>
      </w:pPr>
      <w:r>
        <w:rPr>
          <w:b/>
          <w:bCs/>
        </w:rPr>
        <w:t>Bases légales par finalité (GDPR art. 6).</w:t>
      </w:r>
      <w:r>
        <w:t xml:space="preserve"> Fourniture du service et facturation → </w:t>
      </w:r>
      <w:r>
        <w:rPr>
          <w:b/>
          <w:bCs/>
        </w:rPr>
        <w:t>contrat</w:t>
      </w:r>
      <w:r>
        <w:t xml:space="preserve"> ; recommandation et personnalisation du service → </w:t>
      </w:r>
      <w:r>
        <w:rPr>
          <w:b/>
          <w:bCs/>
        </w:rPr>
        <w:t>intérêt légitime ou contrat</w:t>
      </w:r>
      <w:r>
        <w:t>, avec option de recomman</w:t>
      </w:r>
      <w:r>
        <w:t xml:space="preserve">dation non fondée sur le profilage (DSA art. 27) ; publicité ciblée, partage à des tiers, features optionnelles → </w:t>
      </w:r>
      <w:r>
        <w:rPr>
          <w:b/>
          <w:bCs/>
        </w:rPr>
        <w:t>consentement</w:t>
      </w:r>
      <w:r>
        <w:t xml:space="preserve"> explicite et révocable ; obligations comptables et fiscales → </w:t>
      </w:r>
      <w:r>
        <w:rPr>
          <w:b/>
          <w:bCs/>
        </w:rPr>
        <w:t>obligation légale</w:t>
      </w:r>
      <w:r>
        <w:t>. Chaque traitement est inscrit au registre des tr</w:t>
      </w:r>
      <w:r>
        <w:t>aitements (art. 30) tenu par le DPO.</w:t>
      </w:r>
    </w:p>
    <w:p w:rsidR="00ED107C" w:rsidRDefault="003C36B5">
      <w:pPr>
        <w:pStyle w:val="Corpsdetexte"/>
      </w:pPr>
      <w:r>
        <w:rPr>
          <w:b/>
          <w:bCs/>
        </w:rPr>
        <w:t>Droits des personnes.</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119"/>
        <w:gridCol w:w="2079"/>
        <w:gridCol w:w="1247"/>
        <w:gridCol w:w="3743"/>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2424"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Droit</w:t>
            </w:r>
          </w:p>
        </w:tc>
        <w:tc>
          <w:tcPr>
            <w:tcW w:w="1616"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Base</w:t>
            </w:r>
          </w:p>
        </w:tc>
        <w:tc>
          <w:tcPr>
            <w:tcW w:w="969"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Délai</w:t>
            </w:r>
          </w:p>
        </w:tc>
        <w:tc>
          <w:tcPr>
            <w:tcW w:w="2909"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Mise en œuvre</w:t>
            </w:r>
          </w:p>
        </w:tc>
      </w:tr>
      <w:tr w:rsidR="00ED107C" w:rsidRPr="003C36B5" w:rsidTr="003C36B5">
        <w:tc>
          <w:tcPr>
            <w:tcW w:w="2424" w:type="dxa"/>
            <w:shd w:val="clear" w:color="auto" w:fill="auto"/>
          </w:tcPr>
          <w:p w:rsidR="00ED107C" w:rsidRPr="003C36B5" w:rsidRDefault="003C36B5" w:rsidP="003C36B5">
            <w:pPr>
              <w:pStyle w:val="Compact"/>
              <w:spacing w:before="20" w:after="20"/>
              <w:rPr>
                <w:sz w:val="16"/>
              </w:rPr>
            </w:pPr>
            <w:r w:rsidRPr="003C36B5">
              <w:rPr>
                <w:sz w:val="16"/>
              </w:rPr>
              <w:t>Accès et information (source, destinataires, durées, transferts)</w:t>
            </w:r>
          </w:p>
        </w:tc>
        <w:tc>
          <w:tcPr>
            <w:tcW w:w="1616" w:type="dxa"/>
            <w:shd w:val="clear" w:color="auto" w:fill="auto"/>
          </w:tcPr>
          <w:p w:rsidR="00ED107C" w:rsidRPr="003C36B5" w:rsidRDefault="003C36B5" w:rsidP="003C36B5">
            <w:pPr>
              <w:pStyle w:val="Compact"/>
              <w:spacing w:before="20" w:after="20"/>
              <w:rPr>
                <w:sz w:val="16"/>
              </w:rPr>
            </w:pPr>
            <w:r w:rsidRPr="003C36B5">
              <w:rPr>
                <w:sz w:val="16"/>
              </w:rPr>
              <w:t>GDPR art. 15, CCPA</w:t>
            </w:r>
          </w:p>
        </w:tc>
        <w:tc>
          <w:tcPr>
            <w:tcW w:w="969" w:type="dxa"/>
            <w:shd w:val="clear" w:color="auto" w:fill="auto"/>
          </w:tcPr>
          <w:p w:rsidR="00ED107C" w:rsidRPr="003C36B5" w:rsidRDefault="003C36B5" w:rsidP="003C36B5">
            <w:pPr>
              <w:pStyle w:val="Compact"/>
              <w:spacing w:before="20" w:after="20"/>
              <w:rPr>
                <w:sz w:val="16"/>
              </w:rPr>
            </w:pPr>
            <w:r w:rsidRPr="003C36B5">
              <w:rPr>
                <w:sz w:val="16"/>
              </w:rPr>
              <w:t>1 mois / 45 j</w:t>
            </w:r>
          </w:p>
        </w:tc>
        <w:tc>
          <w:tcPr>
            <w:tcW w:w="2909" w:type="dxa"/>
            <w:shd w:val="clear" w:color="auto" w:fill="auto"/>
          </w:tcPr>
          <w:p w:rsidR="00ED107C" w:rsidRPr="003C36B5" w:rsidRDefault="003C36B5" w:rsidP="003C36B5">
            <w:pPr>
              <w:pStyle w:val="Compact"/>
              <w:spacing w:before="20" w:after="20"/>
              <w:rPr>
                <w:sz w:val="16"/>
              </w:rPr>
            </w:pPr>
            <w:r w:rsidRPr="003C36B5">
              <w:rPr>
                <w:sz w:val="16"/>
              </w:rPr>
              <w:t>Export libre-service complet ; Privacy Team pour le reste</w:t>
            </w:r>
          </w:p>
        </w:tc>
      </w:tr>
      <w:tr w:rsidR="00ED107C" w:rsidRPr="003C36B5" w:rsidTr="003C36B5">
        <w:tc>
          <w:tcPr>
            <w:tcW w:w="2424" w:type="dxa"/>
            <w:shd w:val="clear" w:color="auto" w:fill="auto"/>
          </w:tcPr>
          <w:p w:rsidR="00ED107C" w:rsidRPr="003C36B5" w:rsidRDefault="003C36B5" w:rsidP="003C36B5">
            <w:pPr>
              <w:pStyle w:val="Compact"/>
              <w:spacing w:before="20" w:after="20"/>
              <w:rPr>
                <w:sz w:val="16"/>
              </w:rPr>
            </w:pPr>
            <w:r w:rsidRPr="003C36B5">
              <w:rPr>
                <w:sz w:val="16"/>
              </w:rPr>
              <w:t>Rectific</w:t>
            </w:r>
            <w:r w:rsidRPr="003C36B5">
              <w:rPr>
                <w:sz w:val="16"/>
              </w:rPr>
              <w:t>ation</w:t>
            </w:r>
          </w:p>
        </w:tc>
        <w:tc>
          <w:tcPr>
            <w:tcW w:w="1616" w:type="dxa"/>
            <w:shd w:val="clear" w:color="auto" w:fill="auto"/>
          </w:tcPr>
          <w:p w:rsidR="00ED107C" w:rsidRPr="003C36B5" w:rsidRDefault="003C36B5" w:rsidP="003C36B5">
            <w:pPr>
              <w:pStyle w:val="Compact"/>
              <w:spacing w:before="20" w:after="20"/>
              <w:rPr>
                <w:sz w:val="16"/>
              </w:rPr>
            </w:pPr>
            <w:r w:rsidRPr="003C36B5">
              <w:rPr>
                <w:sz w:val="16"/>
              </w:rPr>
              <w:t>GDPR art. 16, CPRA</w:t>
            </w:r>
          </w:p>
        </w:tc>
        <w:tc>
          <w:tcPr>
            <w:tcW w:w="969" w:type="dxa"/>
            <w:shd w:val="clear" w:color="auto" w:fill="auto"/>
          </w:tcPr>
          <w:p w:rsidR="00ED107C" w:rsidRPr="003C36B5" w:rsidRDefault="003C36B5" w:rsidP="003C36B5">
            <w:pPr>
              <w:pStyle w:val="Compact"/>
              <w:spacing w:before="20" w:after="20"/>
              <w:rPr>
                <w:sz w:val="16"/>
              </w:rPr>
            </w:pPr>
            <w:r w:rsidRPr="003C36B5">
              <w:rPr>
                <w:sz w:val="16"/>
              </w:rPr>
              <w:t>1 mois</w:t>
            </w:r>
          </w:p>
        </w:tc>
        <w:tc>
          <w:tcPr>
            <w:tcW w:w="2909" w:type="dxa"/>
            <w:shd w:val="clear" w:color="auto" w:fill="auto"/>
          </w:tcPr>
          <w:p w:rsidR="00ED107C" w:rsidRPr="003C36B5" w:rsidRDefault="003C36B5" w:rsidP="003C36B5">
            <w:pPr>
              <w:pStyle w:val="Compact"/>
              <w:spacing w:before="20" w:after="20"/>
              <w:rPr>
                <w:sz w:val="16"/>
              </w:rPr>
            </w:pPr>
            <w:r w:rsidRPr="003C36B5">
              <w:rPr>
                <w:sz w:val="16"/>
              </w:rPr>
              <w:t>Paramètres du compte</w:t>
            </w:r>
          </w:p>
        </w:tc>
      </w:tr>
      <w:tr w:rsidR="00ED107C" w:rsidRPr="003C36B5" w:rsidTr="003C36B5">
        <w:tc>
          <w:tcPr>
            <w:tcW w:w="2424" w:type="dxa"/>
            <w:shd w:val="clear" w:color="auto" w:fill="auto"/>
          </w:tcPr>
          <w:p w:rsidR="00ED107C" w:rsidRPr="003C36B5" w:rsidRDefault="003C36B5" w:rsidP="003C36B5">
            <w:pPr>
              <w:pStyle w:val="Compact"/>
              <w:spacing w:before="20" w:after="20"/>
              <w:rPr>
                <w:sz w:val="16"/>
              </w:rPr>
            </w:pPr>
            <w:r w:rsidRPr="003C36B5">
              <w:rPr>
                <w:sz w:val="16"/>
              </w:rPr>
              <w:t>Effacement</w:t>
            </w:r>
          </w:p>
        </w:tc>
        <w:tc>
          <w:tcPr>
            <w:tcW w:w="1616" w:type="dxa"/>
            <w:shd w:val="clear" w:color="auto" w:fill="auto"/>
          </w:tcPr>
          <w:p w:rsidR="00ED107C" w:rsidRPr="003C36B5" w:rsidRDefault="003C36B5" w:rsidP="003C36B5">
            <w:pPr>
              <w:pStyle w:val="Compact"/>
              <w:spacing w:before="20" w:after="20"/>
              <w:rPr>
                <w:sz w:val="16"/>
              </w:rPr>
            </w:pPr>
            <w:r w:rsidRPr="003C36B5">
              <w:rPr>
                <w:sz w:val="16"/>
              </w:rPr>
              <w:t>GDPR art. 17, CCPA</w:t>
            </w:r>
          </w:p>
        </w:tc>
        <w:tc>
          <w:tcPr>
            <w:tcW w:w="969" w:type="dxa"/>
            <w:shd w:val="clear" w:color="auto" w:fill="auto"/>
          </w:tcPr>
          <w:p w:rsidR="00ED107C" w:rsidRPr="003C36B5" w:rsidRDefault="003C36B5" w:rsidP="003C36B5">
            <w:pPr>
              <w:pStyle w:val="Compact"/>
              <w:spacing w:before="20" w:after="20"/>
              <w:rPr>
                <w:sz w:val="16"/>
              </w:rPr>
            </w:pPr>
            <w:r w:rsidRPr="003C36B5">
              <w:rPr>
                <w:sz w:val="16"/>
              </w:rPr>
              <w:t>1 mois</w:t>
            </w:r>
          </w:p>
        </w:tc>
        <w:tc>
          <w:tcPr>
            <w:tcW w:w="2909" w:type="dxa"/>
            <w:shd w:val="clear" w:color="auto" w:fill="auto"/>
          </w:tcPr>
          <w:p w:rsidR="00ED107C" w:rsidRPr="003C36B5" w:rsidRDefault="003C36B5" w:rsidP="003C36B5">
            <w:pPr>
              <w:pStyle w:val="Compact"/>
              <w:spacing w:before="20" w:after="20"/>
              <w:rPr>
                <w:sz w:val="16"/>
              </w:rPr>
            </w:pPr>
            <w:r w:rsidRPr="003C36B5">
              <w:rPr>
                <w:sz w:val="16"/>
              </w:rPr>
              <w:t>Pipeline automatisé sur tous les systèmes du domaine</w:t>
            </w:r>
          </w:p>
        </w:tc>
      </w:tr>
      <w:tr w:rsidR="00ED107C" w:rsidRPr="003C36B5" w:rsidTr="003C36B5">
        <w:tc>
          <w:tcPr>
            <w:tcW w:w="2424" w:type="dxa"/>
            <w:shd w:val="clear" w:color="auto" w:fill="auto"/>
          </w:tcPr>
          <w:p w:rsidR="00ED107C" w:rsidRPr="003C36B5" w:rsidRDefault="003C36B5" w:rsidP="003C36B5">
            <w:pPr>
              <w:pStyle w:val="Compact"/>
              <w:spacing w:before="20" w:after="20"/>
              <w:rPr>
                <w:sz w:val="16"/>
              </w:rPr>
            </w:pPr>
            <w:r w:rsidRPr="003C36B5">
              <w:rPr>
                <w:sz w:val="16"/>
              </w:rPr>
              <w:t>Portabilité</w:t>
            </w:r>
          </w:p>
        </w:tc>
        <w:tc>
          <w:tcPr>
            <w:tcW w:w="1616" w:type="dxa"/>
            <w:shd w:val="clear" w:color="auto" w:fill="auto"/>
          </w:tcPr>
          <w:p w:rsidR="00ED107C" w:rsidRPr="003C36B5" w:rsidRDefault="003C36B5" w:rsidP="003C36B5">
            <w:pPr>
              <w:pStyle w:val="Compact"/>
              <w:spacing w:before="20" w:after="20"/>
              <w:rPr>
                <w:sz w:val="16"/>
              </w:rPr>
            </w:pPr>
            <w:r w:rsidRPr="003C36B5">
              <w:rPr>
                <w:sz w:val="16"/>
              </w:rPr>
              <w:t>GDPR art. 20</w:t>
            </w:r>
          </w:p>
        </w:tc>
        <w:tc>
          <w:tcPr>
            <w:tcW w:w="969" w:type="dxa"/>
            <w:shd w:val="clear" w:color="auto" w:fill="auto"/>
          </w:tcPr>
          <w:p w:rsidR="00ED107C" w:rsidRPr="003C36B5" w:rsidRDefault="003C36B5" w:rsidP="003C36B5">
            <w:pPr>
              <w:pStyle w:val="Compact"/>
              <w:spacing w:before="20" w:after="20"/>
              <w:rPr>
                <w:sz w:val="16"/>
              </w:rPr>
            </w:pPr>
            <w:r w:rsidRPr="003C36B5">
              <w:rPr>
                <w:sz w:val="16"/>
              </w:rPr>
              <w:t>1 mois</w:t>
            </w:r>
          </w:p>
        </w:tc>
        <w:tc>
          <w:tcPr>
            <w:tcW w:w="2909" w:type="dxa"/>
            <w:shd w:val="clear" w:color="auto" w:fill="auto"/>
          </w:tcPr>
          <w:p w:rsidR="00ED107C" w:rsidRPr="003C36B5" w:rsidRDefault="003C36B5" w:rsidP="003C36B5">
            <w:pPr>
              <w:pStyle w:val="Compact"/>
              <w:spacing w:before="20" w:after="20"/>
              <w:rPr>
                <w:sz w:val="16"/>
              </w:rPr>
            </w:pPr>
            <w:r w:rsidRPr="003C36B5">
              <w:rPr>
                <w:sz w:val="16"/>
              </w:rPr>
              <w:t>Export JSON/CSV</w:t>
            </w:r>
          </w:p>
        </w:tc>
      </w:tr>
      <w:tr w:rsidR="00ED107C" w:rsidRPr="003C36B5" w:rsidTr="003C36B5">
        <w:tc>
          <w:tcPr>
            <w:tcW w:w="2424" w:type="dxa"/>
            <w:shd w:val="clear" w:color="auto" w:fill="auto"/>
          </w:tcPr>
          <w:p w:rsidR="00ED107C" w:rsidRPr="003C36B5" w:rsidRDefault="003C36B5" w:rsidP="003C36B5">
            <w:pPr>
              <w:pStyle w:val="Compact"/>
              <w:spacing w:before="20" w:after="20"/>
              <w:rPr>
                <w:sz w:val="16"/>
              </w:rPr>
            </w:pPr>
            <w:r w:rsidRPr="003C36B5">
              <w:rPr>
                <w:sz w:val="16"/>
              </w:rPr>
              <w:t>Opposition et limitation</w:t>
            </w:r>
          </w:p>
        </w:tc>
        <w:tc>
          <w:tcPr>
            <w:tcW w:w="1616" w:type="dxa"/>
            <w:shd w:val="clear" w:color="auto" w:fill="auto"/>
          </w:tcPr>
          <w:p w:rsidR="00ED107C" w:rsidRPr="003C36B5" w:rsidRDefault="003C36B5" w:rsidP="003C36B5">
            <w:pPr>
              <w:pStyle w:val="Compact"/>
              <w:spacing w:before="20" w:after="20"/>
              <w:rPr>
                <w:sz w:val="16"/>
              </w:rPr>
            </w:pPr>
            <w:r w:rsidRPr="003C36B5">
              <w:rPr>
                <w:sz w:val="16"/>
              </w:rPr>
              <w:t>GDPR art. 18, 21</w:t>
            </w:r>
          </w:p>
        </w:tc>
        <w:tc>
          <w:tcPr>
            <w:tcW w:w="969" w:type="dxa"/>
            <w:shd w:val="clear" w:color="auto" w:fill="auto"/>
          </w:tcPr>
          <w:p w:rsidR="00ED107C" w:rsidRPr="003C36B5" w:rsidRDefault="003C36B5" w:rsidP="003C36B5">
            <w:pPr>
              <w:pStyle w:val="Compact"/>
              <w:spacing w:before="20" w:after="20"/>
              <w:rPr>
                <w:sz w:val="16"/>
              </w:rPr>
            </w:pPr>
            <w:r w:rsidRPr="003C36B5">
              <w:rPr>
                <w:sz w:val="16"/>
              </w:rPr>
              <w:t>1 mois</w:t>
            </w:r>
          </w:p>
        </w:tc>
        <w:tc>
          <w:tcPr>
            <w:tcW w:w="2909" w:type="dxa"/>
            <w:shd w:val="clear" w:color="auto" w:fill="auto"/>
          </w:tcPr>
          <w:p w:rsidR="00ED107C" w:rsidRPr="003C36B5" w:rsidRDefault="003C36B5" w:rsidP="003C36B5">
            <w:pPr>
              <w:pStyle w:val="Compact"/>
              <w:spacing w:before="20" w:after="20"/>
              <w:rPr>
                <w:sz w:val="16"/>
              </w:rPr>
            </w:pPr>
            <w:r w:rsidRPr="003C36B5">
              <w:rPr>
                <w:sz w:val="16"/>
              </w:rPr>
              <w:t>Désactivation du profilage publicitaire, gel du traitement</w:t>
            </w:r>
          </w:p>
        </w:tc>
      </w:tr>
      <w:tr w:rsidR="00ED107C" w:rsidRPr="003C36B5" w:rsidTr="003C36B5">
        <w:tc>
          <w:tcPr>
            <w:tcW w:w="2424" w:type="dxa"/>
            <w:shd w:val="clear" w:color="auto" w:fill="auto"/>
          </w:tcPr>
          <w:p w:rsidR="00ED107C" w:rsidRPr="003C36B5" w:rsidRDefault="003C36B5" w:rsidP="003C36B5">
            <w:pPr>
              <w:pStyle w:val="Compact"/>
              <w:spacing w:before="20" w:after="20"/>
              <w:rPr>
                <w:sz w:val="16"/>
              </w:rPr>
            </w:pPr>
            <w:r w:rsidRPr="003C36B5">
              <w:rPr>
                <w:sz w:val="16"/>
              </w:rPr>
              <w:t>Décision automatisée</w:t>
            </w:r>
          </w:p>
        </w:tc>
        <w:tc>
          <w:tcPr>
            <w:tcW w:w="1616" w:type="dxa"/>
            <w:shd w:val="clear" w:color="auto" w:fill="auto"/>
          </w:tcPr>
          <w:p w:rsidR="00ED107C" w:rsidRPr="003C36B5" w:rsidRDefault="003C36B5" w:rsidP="003C36B5">
            <w:pPr>
              <w:pStyle w:val="Compact"/>
              <w:spacing w:before="20" w:after="20"/>
              <w:rPr>
                <w:sz w:val="16"/>
              </w:rPr>
            </w:pPr>
            <w:r w:rsidRPr="003C36B5">
              <w:rPr>
                <w:sz w:val="16"/>
              </w:rPr>
              <w:t>GDPR art. 22, DSA art. 27</w:t>
            </w:r>
          </w:p>
        </w:tc>
        <w:tc>
          <w:tcPr>
            <w:tcW w:w="969" w:type="dxa"/>
            <w:shd w:val="clear" w:color="auto" w:fill="auto"/>
          </w:tcPr>
          <w:p w:rsidR="00ED107C" w:rsidRPr="003C36B5" w:rsidRDefault="003C36B5" w:rsidP="003C36B5">
            <w:pPr>
              <w:pStyle w:val="Compact"/>
              <w:spacing w:before="20" w:after="20"/>
              <w:rPr>
                <w:sz w:val="16"/>
              </w:rPr>
            </w:pPr>
            <w:r w:rsidRPr="003C36B5">
              <w:rPr>
                <w:sz w:val="16"/>
              </w:rPr>
              <w:t>—</w:t>
            </w:r>
          </w:p>
        </w:tc>
        <w:tc>
          <w:tcPr>
            <w:tcW w:w="2909" w:type="dxa"/>
            <w:shd w:val="clear" w:color="auto" w:fill="auto"/>
          </w:tcPr>
          <w:p w:rsidR="00ED107C" w:rsidRPr="003C36B5" w:rsidRDefault="003C36B5" w:rsidP="003C36B5">
            <w:pPr>
              <w:pStyle w:val="Compact"/>
              <w:spacing w:before="20" w:after="20"/>
              <w:rPr>
                <w:sz w:val="16"/>
              </w:rPr>
            </w:pPr>
            <w:r w:rsidRPr="003C36B5">
              <w:rPr>
                <w:sz w:val="16"/>
              </w:rPr>
              <w:t>Explicabilité des recommandations, option non profilée</w:t>
            </w:r>
          </w:p>
        </w:tc>
      </w:tr>
      <w:tr w:rsidR="00ED107C" w:rsidRPr="003C36B5" w:rsidTr="003C36B5">
        <w:tc>
          <w:tcPr>
            <w:tcW w:w="2424" w:type="dxa"/>
            <w:shd w:val="clear" w:color="auto" w:fill="auto"/>
          </w:tcPr>
          <w:p w:rsidR="00ED107C" w:rsidRPr="003C36B5" w:rsidRDefault="003C36B5" w:rsidP="003C36B5">
            <w:pPr>
              <w:pStyle w:val="Compact"/>
              <w:spacing w:before="20" w:after="20"/>
              <w:rPr>
                <w:sz w:val="16"/>
              </w:rPr>
            </w:pPr>
            <w:r w:rsidRPr="003C36B5">
              <w:rPr>
                <w:sz w:val="16"/>
              </w:rPr>
              <w:t>Opt-out de la vente / du partage</w:t>
            </w:r>
          </w:p>
        </w:tc>
        <w:tc>
          <w:tcPr>
            <w:tcW w:w="1616" w:type="dxa"/>
            <w:shd w:val="clear" w:color="auto" w:fill="auto"/>
          </w:tcPr>
          <w:p w:rsidR="00ED107C" w:rsidRPr="003C36B5" w:rsidRDefault="003C36B5" w:rsidP="003C36B5">
            <w:pPr>
              <w:pStyle w:val="Compact"/>
              <w:spacing w:before="20" w:after="20"/>
              <w:rPr>
                <w:sz w:val="16"/>
              </w:rPr>
            </w:pPr>
            <w:r w:rsidRPr="003C36B5">
              <w:rPr>
                <w:sz w:val="16"/>
              </w:rPr>
              <w:t>CCPA/CPRA</w:t>
            </w:r>
          </w:p>
        </w:tc>
        <w:tc>
          <w:tcPr>
            <w:tcW w:w="969" w:type="dxa"/>
            <w:shd w:val="clear" w:color="auto" w:fill="auto"/>
          </w:tcPr>
          <w:p w:rsidR="00ED107C" w:rsidRPr="003C36B5" w:rsidRDefault="003C36B5" w:rsidP="003C36B5">
            <w:pPr>
              <w:pStyle w:val="Compact"/>
              <w:spacing w:before="20" w:after="20"/>
              <w:rPr>
                <w:sz w:val="16"/>
              </w:rPr>
            </w:pPr>
            <w:r w:rsidRPr="003C36B5">
              <w:rPr>
                <w:sz w:val="16"/>
              </w:rPr>
              <w:t>Immédiat</w:t>
            </w:r>
          </w:p>
        </w:tc>
        <w:tc>
          <w:tcPr>
            <w:tcW w:w="2909" w:type="dxa"/>
            <w:shd w:val="clear" w:color="auto" w:fill="auto"/>
          </w:tcPr>
          <w:p w:rsidR="00ED107C" w:rsidRPr="003C36B5" w:rsidRDefault="003C36B5" w:rsidP="003C36B5">
            <w:pPr>
              <w:pStyle w:val="Compact"/>
              <w:spacing w:before="20" w:after="20"/>
              <w:rPr>
                <w:sz w:val="16"/>
              </w:rPr>
            </w:pPr>
            <w:r w:rsidRPr="003C36B5">
              <w:rPr>
                <w:sz w:val="16"/>
              </w:rPr>
              <w:t>Lien « Do Not Sell or Share », signal GPC honoré</w:t>
            </w:r>
          </w:p>
        </w:tc>
      </w:tr>
      <w:tr w:rsidR="00ED107C" w:rsidRPr="003C36B5" w:rsidTr="003C36B5">
        <w:tc>
          <w:tcPr>
            <w:tcW w:w="2424" w:type="dxa"/>
            <w:shd w:val="clear" w:color="auto" w:fill="auto"/>
          </w:tcPr>
          <w:p w:rsidR="00ED107C" w:rsidRPr="003C36B5" w:rsidRDefault="003C36B5" w:rsidP="003C36B5">
            <w:pPr>
              <w:pStyle w:val="Compact"/>
              <w:spacing w:before="20" w:after="20"/>
              <w:rPr>
                <w:sz w:val="16"/>
              </w:rPr>
            </w:pPr>
            <w:r w:rsidRPr="003C36B5">
              <w:rPr>
                <w:sz w:val="16"/>
              </w:rPr>
              <w:t>Non-discrimination</w:t>
            </w:r>
          </w:p>
        </w:tc>
        <w:tc>
          <w:tcPr>
            <w:tcW w:w="1616" w:type="dxa"/>
            <w:shd w:val="clear" w:color="auto" w:fill="auto"/>
          </w:tcPr>
          <w:p w:rsidR="00ED107C" w:rsidRPr="003C36B5" w:rsidRDefault="003C36B5" w:rsidP="003C36B5">
            <w:pPr>
              <w:pStyle w:val="Compact"/>
              <w:spacing w:before="20" w:after="20"/>
              <w:rPr>
                <w:sz w:val="16"/>
              </w:rPr>
            </w:pPr>
            <w:r w:rsidRPr="003C36B5">
              <w:rPr>
                <w:sz w:val="16"/>
              </w:rPr>
              <w:t>CCPA</w:t>
            </w:r>
          </w:p>
        </w:tc>
        <w:tc>
          <w:tcPr>
            <w:tcW w:w="969" w:type="dxa"/>
            <w:shd w:val="clear" w:color="auto" w:fill="auto"/>
          </w:tcPr>
          <w:p w:rsidR="00ED107C" w:rsidRPr="003C36B5" w:rsidRDefault="003C36B5" w:rsidP="003C36B5">
            <w:pPr>
              <w:pStyle w:val="Compact"/>
              <w:spacing w:before="20" w:after="20"/>
              <w:rPr>
                <w:sz w:val="16"/>
              </w:rPr>
            </w:pPr>
            <w:r w:rsidRPr="003C36B5">
              <w:rPr>
                <w:sz w:val="16"/>
              </w:rPr>
              <w:t>—</w:t>
            </w:r>
          </w:p>
        </w:tc>
        <w:tc>
          <w:tcPr>
            <w:tcW w:w="2909" w:type="dxa"/>
            <w:shd w:val="clear" w:color="auto" w:fill="auto"/>
          </w:tcPr>
          <w:p w:rsidR="00ED107C" w:rsidRPr="003C36B5" w:rsidRDefault="003C36B5" w:rsidP="003C36B5">
            <w:pPr>
              <w:pStyle w:val="Compact"/>
              <w:spacing w:before="20" w:after="20"/>
              <w:rPr>
                <w:sz w:val="16"/>
              </w:rPr>
            </w:pPr>
            <w:r w:rsidRPr="003C36B5">
              <w:rPr>
                <w:sz w:val="16"/>
              </w:rPr>
              <w:t>Aucune dégradation de service après exercice d’un droit</w:t>
            </w:r>
          </w:p>
        </w:tc>
      </w:tr>
    </w:tbl>
    <w:p w:rsidR="00ED107C" w:rsidRDefault="003C36B5">
      <w:pPr>
        <w:pStyle w:val="Corpsdetexte"/>
      </w:pPr>
      <w:r>
        <w:rPr>
          <w:b/>
          <w:bCs/>
        </w:rPr>
        <w:t>Consentement et transparence.</w:t>
      </w:r>
      <w:r>
        <w:t xml:space="preserve"> Consentement recueilli et tracé par la plateforme de gestion des consentements, granulaire pa</w:t>
      </w:r>
      <w:r>
        <w:t>r finalité, aussi simple à retirer qu’à donner. Mineurs : âge minimum par pays, consentement parental (GDPR art. 8), pas de publicité ciblée.</w:t>
      </w:r>
    </w:p>
    <w:p w:rsidR="00ED107C" w:rsidRDefault="003C36B5">
      <w:pPr>
        <w:pStyle w:val="Corpsdetexte"/>
      </w:pPr>
      <w:r>
        <w:rPr>
          <w:b/>
          <w:bCs/>
        </w:rPr>
        <w:t>DPIA.</w:t>
      </w:r>
      <w:r>
        <w:t xml:space="preserve"> Obligatoire avant tout nouveau traitement à risque élevé (nouveau profilage, nouvelle catégorie de données, </w:t>
      </w:r>
      <w:r>
        <w:t>nouveau transfert), validée par le DPO avant mise en production.</w:t>
      </w:r>
    </w:p>
    <w:p w:rsidR="00ED107C" w:rsidRDefault="003C36B5">
      <w:pPr>
        <w:pStyle w:val="Corpsdetexte"/>
      </w:pPr>
      <w:r>
        <w:rPr>
          <w:b/>
          <w:bCs/>
        </w:rPr>
        <w:t>Transferts internationaux.</w:t>
      </w:r>
      <w:r>
        <w:t xml:space="preserve"> Clauses contractuelles types, EU-US Data Privacy Framework pour les prestataires certifiés, règles d’entreprise contraignantes intra-groupe ; inventaire des transfe</w:t>
      </w:r>
      <w:r>
        <w:t>rts au registre.</w:t>
      </w:r>
    </w:p>
    <w:p w:rsidR="00ED107C" w:rsidRDefault="003C36B5">
      <w:pPr>
        <w:pStyle w:val="Corpsdetexte"/>
      </w:pPr>
      <w:r>
        <w:rPr>
          <w:b/>
          <w:bCs/>
        </w:rPr>
        <w:t>PCI-DSS.</w:t>
      </w:r>
      <w:r>
        <w:t xml:space="preserve"> Les données de carte sont traitées par un prestataire de paiement certifié PCI-DSS ; Spotify ne stocke aucun numéro de carte (tokenisation). Obligations conservées par Spotify sur les six exigences de la checklist : réseau et page</w:t>
      </w:r>
      <w:r>
        <w:t xml:space="preserve"> de paiement sécurisés (SAQ-A annuel), protection des jetons et données de facturation, gestion des vulnérabilités (scans </w:t>
      </w:r>
      <w:r>
        <w:lastRenderedPageBreak/>
        <w:t xml:space="preserve">trimestriels, correctifs), contrôle d’accès strict et MFA sur les consoles de paiement, surveillance et tests (SIEM, pentest annuel), </w:t>
      </w:r>
      <w:r>
        <w:t>politique de sécurité de l’information revue annuellement.</w:t>
      </w:r>
    </w:p>
    <w:p w:rsidR="00ED107C" w:rsidRDefault="003C36B5">
      <w:pPr>
        <w:pStyle w:val="Corpsdetexte"/>
      </w:pPr>
      <w:r>
        <w:rPr>
          <w:b/>
          <w:bCs/>
        </w:rPr>
        <w:t>Réglementations locales.</w:t>
      </w:r>
      <w:r>
        <w:t xml:space="preserve"> CCPA/CPRA (Californie), PDPA (Singapour), LGPD (Brésil, amende jusqu’à 2 % du CA local), DSA (transparence des systèmes de recommandation), AI Act (obligations de transpare</w:t>
      </w:r>
      <w:r>
        <w:t>nce pour les systèmes de recommandation). La veille est tenue par le DPO et Legal ; la checklist de conformité (annexe Excel) est mise à jour trimestriellement.</w:t>
      </w:r>
    </w:p>
    <w:p w:rsidR="00ED107C" w:rsidRDefault="003C36B5">
      <w:pPr>
        <w:pStyle w:val="Titre2"/>
      </w:pPr>
      <w:bookmarkStart w:id="25" w:name="rôles-et-responsabilités"/>
      <w:bookmarkStart w:id="26" w:name="_Toc240702664"/>
      <w:bookmarkEnd w:id="23"/>
      <w:r>
        <w:t>6. Rôles et responsabilités</w:t>
      </w:r>
      <w:bookmarkEnd w:id="26"/>
    </w:p>
    <w:p w:rsidR="00ED107C" w:rsidRDefault="003C36B5">
      <w:pPr>
        <w:pStyle w:val="FirstParagraph"/>
      </w:pPr>
      <w:r>
        <w:t>Les rôles suivent le Data Governance Roles Template ; l’organigramm</w:t>
      </w:r>
      <w:r>
        <w:t>e et les fiches détaillées sont en Partie 3.</w:t>
      </w:r>
    </w:p>
    <w:p w:rsidR="00ED107C" w:rsidRDefault="003C36B5">
      <w:pPr>
        <w:pStyle w:val="Compact"/>
        <w:numPr>
          <w:ilvl w:val="0"/>
          <w:numId w:val="2"/>
        </w:numPr>
      </w:pPr>
      <w:r>
        <w:rPr>
          <w:b/>
          <w:bCs/>
        </w:rPr>
        <w:t>Chief Data Officer</w:t>
      </w:r>
      <w:r>
        <w:t xml:space="preserve"> — porte la stratégie et cette politique, pilote le Centre of Excellence, arbitre les conflits inter-domaines.</w:t>
      </w:r>
    </w:p>
    <w:p w:rsidR="00ED107C" w:rsidRDefault="003C36B5">
      <w:pPr>
        <w:pStyle w:val="Compact"/>
        <w:numPr>
          <w:ilvl w:val="0"/>
          <w:numId w:val="2"/>
        </w:numPr>
      </w:pPr>
      <w:r>
        <w:rPr>
          <w:b/>
          <w:bCs/>
        </w:rPr>
        <w:t>Data Protection Officer</w:t>
      </w:r>
      <w:r>
        <w:t xml:space="preserve"> — indépendant, rattaché à la direction générale ; conformi</w:t>
      </w:r>
      <w:r>
        <w:t>té GDPR/CCPA, DPIA, registre, contact des autorités, pilotage des incidents ; dirige la Privacy Team.</w:t>
      </w:r>
    </w:p>
    <w:p w:rsidR="00ED107C" w:rsidRDefault="003C36B5">
      <w:pPr>
        <w:pStyle w:val="Compact"/>
        <w:numPr>
          <w:ilvl w:val="0"/>
          <w:numId w:val="2"/>
        </w:numPr>
      </w:pPr>
      <w:r>
        <w:rPr>
          <w:b/>
          <w:bCs/>
        </w:rPr>
        <w:t>Data Governance Committee</w:t>
      </w:r>
      <w:r>
        <w:t xml:space="preserve"> (mensuel) — approuve les politiques et standards, traite les sujets inter-départements, suit les KPIs.</w:t>
      </w:r>
    </w:p>
    <w:p w:rsidR="00ED107C" w:rsidRDefault="003C36B5">
      <w:pPr>
        <w:pStyle w:val="Compact"/>
        <w:numPr>
          <w:ilvl w:val="0"/>
          <w:numId w:val="2"/>
        </w:numPr>
      </w:pPr>
      <w:r>
        <w:rPr>
          <w:b/>
          <w:bCs/>
        </w:rPr>
        <w:t>Data Stewards</w:t>
      </w:r>
      <w:r>
        <w:t xml:space="preserve"> (un par dom</w:t>
      </w:r>
      <w:r>
        <w:t>aine) — qualité, classification, accès et conformité de leur domaine.</w:t>
      </w:r>
    </w:p>
    <w:p w:rsidR="00ED107C" w:rsidRDefault="003C36B5">
      <w:pPr>
        <w:pStyle w:val="Compact"/>
        <w:numPr>
          <w:ilvl w:val="0"/>
          <w:numId w:val="2"/>
        </w:numPr>
      </w:pPr>
      <w:r>
        <w:rPr>
          <w:b/>
          <w:bCs/>
        </w:rPr>
        <w:t>Parties prenantes</w:t>
      </w:r>
      <w:r>
        <w:t xml:space="preserve"> — Head of Engineering (implémentation technique des contrôles, sous l’autorité du CTO : la gouvernance définit et audite, l’engineering met en œuvre), Legal (validation</w:t>
      </w:r>
      <w:r>
        <w:t xml:space="preserve"> juridique), Marketing Director et Product Managers (conformité et privacy by design de leurs périmètres).</w:t>
      </w:r>
    </w:p>
    <w:p w:rsidR="00ED107C" w:rsidRDefault="003C36B5">
      <w:pPr>
        <w:pStyle w:val="FirstParagraph"/>
      </w:pPr>
      <w:r>
        <w:rPr>
          <w:b/>
          <w:bCs/>
        </w:rPr>
        <w:t>RACI des activités clés</w:t>
      </w:r>
      <w:r>
        <w:t xml:space="preserve"> (A = rend compte, R = réalise, C = consulté, I = informé) :</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125"/>
        <w:gridCol w:w="686"/>
        <w:gridCol w:w="686"/>
        <w:gridCol w:w="915"/>
        <w:gridCol w:w="801"/>
        <w:gridCol w:w="915"/>
        <w:gridCol w:w="1030"/>
        <w:gridCol w:w="1030"/>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3203"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Activité</w:t>
            </w:r>
          </w:p>
        </w:tc>
        <w:tc>
          <w:tcPr>
            <w:tcW w:w="533" w:type="dxa"/>
            <w:tcBorders>
              <w:bottom w:val="none" w:sz="0" w:space="0" w:color="auto"/>
            </w:tcBorders>
            <w:shd w:val="clear" w:color="auto" w:fill="EFEFEF"/>
          </w:tcPr>
          <w:p w:rsidR="00ED107C" w:rsidRPr="003C36B5" w:rsidRDefault="003C36B5" w:rsidP="003C36B5">
            <w:pPr>
              <w:pStyle w:val="Compact"/>
              <w:spacing w:before="20" w:after="20"/>
              <w:jc w:val="center"/>
              <w:rPr>
                <w:b/>
                <w:sz w:val="16"/>
              </w:rPr>
            </w:pPr>
            <w:r w:rsidRPr="003C36B5">
              <w:rPr>
                <w:b/>
                <w:sz w:val="16"/>
              </w:rPr>
              <w:t>CDO</w:t>
            </w:r>
          </w:p>
        </w:tc>
        <w:tc>
          <w:tcPr>
            <w:tcW w:w="533" w:type="dxa"/>
            <w:tcBorders>
              <w:bottom w:val="none" w:sz="0" w:space="0" w:color="auto"/>
            </w:tcBorders>
            <w:shd w:val="clear" w:color="auto" w:fill="EFEFEF"/>
          </w:tcPr>
          <w:p w:rsidR="00ED107C" w:rsidRPr="003C36B5" w:rsidRDefault="003C36B5" w:rsidP="003C36B5">
            <w:pPr>
              <w:pStyle w:val="Compact"/>
              <w:spacing w:before="20" w:after="20"/>
              <w:jc w:val="center"/>
              <w:rPr>
                <w:b/>
                <w:sz w:val="16"/>
              </w:rPr>
            </w:pPr>
            <w:r w:rsidRPr="003C36B5">
              <w:rPr>
                <w:b/>
                <w:sz w:val="16"/>
              </w:rPr>
              <w:t>DPO</w:t>
            </w:r>
          </w:p>
        </w:tc>
        <w:tc>
          <w:tcPr>
            <w:tcW w:w="711" w:type="dxa"/>
            <w:tcBorders>
              <w:bottom w:val="none" w:sz="0" w:space="0" w:color="auto"/>
            </w:tcBorders>
            <w:shd w:val="clear" w:color="auto" w:fill="EFEFEF"/>
          </w:tcPr>
          <w:p w:rsidR="00ED107C" w:rsidRPr="003C36B5" w:rsidRDefault="003C36B5" w:rsidP="003C36B5">
            <w:pPr>
              <w:pStyle w:val="Compact"/>
              <w:spacing w:before="20" w:after="20"/>
              <w:jc w:val="center"/>
              <w:rPr>
                <w:b/>
                <w:sz w:val="16"/>
              </w:rPr>
            </w:pPr>
            <w:r w:rsidRPr="003C36B5">
              <w:rPr>
                <w:b/>
                <w:sz w:val="16"/>
              </w:rPr>
              <w:t>Head Eng.</w:t>
            </w:r>
          </w:p>
        </w:tc>
        <w:tc>
          <w:tcPr>
            <w:tcW w:w="622" w:type="dxa"/>
            <w:tcBorders>
              <w:bottom w:val="none" w:sz="0" w:space="0" w:color="auto"/>
            </w:tcBorders>
            <w:shd w:val="clear" w:color="auto" w:fill="EFEFEF"/>
          </w:tcPr>
          <w:p w:rsidR="00ED107C" w:rsidRPr="003C36B5" w:rsidRDefault="003C36B5" w:rsidP="003C36B5">
            <w:pPr>
              <w:pStyle w:val="Compact"/>
              <w:spacing w:before="20" w:after="20"/>
              <w:jc w:val="center"/>
              <w:rPr>
                <w:b/>
                <w:sz w:val="16"/>
              </w:rPr>
            </w:pPr>
            <w:r w:rsidRPr="003C36B5">
              <w:rPr>
                <w:b/>
                <w:sz w:val="16"/>
              </w:rPr>
              <w:t>Legal</w:t>
            </w:r>
          </w:p>
        </w:tc>
        <w:tc>
          <w:tcPr>
            <w:tcW w:w="711" w:type="dxa"/>
            <w:tcBorders>
              <w:bottom w:val="none" w:sz="0" w:space="0" w:color="auto"/>
            </w:tcBorders>
            <w:shd w:val="clear" w:color="auto" w:fill="EFEFEF"/>
          </w:tcPr>
          <w:p w:rsidR="00ED107C" w:rsidRPr="003C36B5" w:rsidRDefault="003C36B5" w:rsidP="003C36B5">
            <w:pPr>
              <w:pStyle w:val="Compact"/>
              <w:spacing w:before="20" w:after="20"/>
              <w:jc w:val="center"/>
              <w:rPr>
                <w:b/>
                <w:sz w:val="16"/>
              </w:rPr>
            </w:pPr>
            <w:r w:rsidRPr="003C36B5">
              <w:rPr>
                <w:b/>
                <w:sz w:val="16"/>
              </w:rPr>
              <w:t>Steward</w:t>
            </w:r>
          </w:p>
        </w:tc>
        <w:tc>
          <w:tcPr>
            <w:tcW w:w="800" w:type="dxa"/>
            <w:tcBorders>
              <w:bottom w:val="none" w:sz="0" w:space="0" w:color="auto"/>
            </w:tcBorders>
            <w:shd w:val="clear" w:color="auto" w:fill="EFEFEF"/>
          </w:tcPr>
          <w:p w:rsidR="00ED107C" w:rsidRPr="003C36B5" w:rsidRDefault="003C36B5" w:rsidP="003C36B5">
            <w:pPr>
              <w:pStyle w:val="Compact"/>
              <w:spacing w:before="20" w:after="20"/>
              <w:jc w:val="center"/>
              <w:rPr>
                <w:b/>
                <w:sz w:val="16"/>
              </w:rPr>
            </w:pPr>
            <w:r w:rsidRPr="003C36B5">
              <w:rPr>
                <w:b/>
                <w:sz w:val="16"/>
              </w:rPr>
              <w:t>Engineers</w:t>
            </w:r>
          </w:p>
        </w:tc>
        <w:tc>
          <w:tcPr>
            <w:tcW w:w="800" w:type="dxa"/>
            <w:tcBorders>
              <w:bottom w:val="none" w:sz="0" w:space="0" w:color="auto"/>
            </w:tcBorders>
            <w:shd w:val="clear" w:color="auto" w:fill="EFEFEF"/>
          </w:tcPr>
          <w:p w:rsidR="00ED107C" w:rsidRPr="003C36B5" w:rsidRDefault="003C36B5" w:rsidP="003C36B5">
            <w:pPr>
              <w:pStyle w:val="Compact"/>
              <w:spacing w:before="20" w:after="20"/>
              <w:jc w:val="center"/>
              <w:rPr>
                <w:b/>
                <w:sz w:val="16"/>
              </w:rPr>
            </w:pPr>
            <w:r w:rsidRPr="003C36B5">
              <w:rPr>
                <w:b/>
                <w:sz w:val="16"/>
              </w:rPr>
              <w:t>PM / Mktg</w:t>
            </w:r>
          </w:p>
        </w:tc>
      </w:tr>
      <w:tr w:rsidR="00ED107C" w:rsidRPr="003C36B5" w:rsidTr="003C36B5">
        <w:tc>
          <w:tcPr>
            <w:tcW w:w="3203" w:type="dxa"/>
            <w:shd w:val="clear" w:color="auto" w:fill="auto"/>
          </w:tcPr>
          <w:p w:rsidR="00ED107C" w:rsidRPr="003C36B5" w:rsidRDefault="003C36B5" w:rsidP="003C36B5">
            <w:pPr>
              <w:pStyle w:val="Compact"/>
              <w:spacing w:before="20" w:after="20"/>
              <w:rPr>
                <w:sz w:val="16"/>
              </w:rPr>
            </w:pPr>
            <w:r w:rsidRPr="003C36B5">
              <w:rPr>
                <w:sz w:val="16"/>
              </w:rPr>
              <w:t>Définir et réviser la politique</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A/R</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622"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I</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C</w:t>
            </w:r>
          </w:p>
        </w:tc>
      </w:tr>
      <w:tr w:rsidR="00ED107C" w:rsidRPr="003C36B5" w:rsidTr="003C36B5">
        <w:tc>
          <w:tcPr>
            <w:tcW w:w="3203" w:type="dxa"/>
            <w:shd w:val="clear" w:color="auto" w:fill="auto"/>
          </w:tcPr>
          <w:p w:rsidR="00ED107C" w:rsidRPr="003C36B5" w:rsidRDefault="003C36B5" w:rsidP="003C36B5">
            <w:pPr>
              <w:pStyle w:val="Compact"/>
              <w:spacing w:before="20" w:after="20"/>
              <w:rPr>
                <w:sz w:val="16"/>
              </w:rPr>
            </w:pPr>
            <w:r w:rsidRPr="003C36B5">
              <w:rPr>
                <w:sz w:val="16"/>
              </w:rPr>
              <w:t>Valider un nouveau traitement (DPIA)</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I</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A/R</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622"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R</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I</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R</w:t>
            </w:r>
          </w:p>
        </w:tc>
      </w:tr>
      <w:tr w:rsidR="00ED107C" w:rsidRPr="003C36B5" w:rsidTr="003C36B5">
        <w:tc>
          <w:tcPr>
            <w:tcW w:w="3203" w:type="dxa"/>
            <w:shd w:val="clear" w:color="auto" w:fill="auto"/>
          </w:tcPr>
          <w:p w:rsidR="00ED107C" w:rsidRPr="003C36B5" w:rsidRDefault="003C36B5" w:rsidP="003C36B5">
            <w:pPr>
              <w:pStyle w:val="Compact"/>
              <w:spacing w:before="20" w:after="20"/>
              <w:rPr>
                <w:sz w:val="16"/>
              </w:rPr>
            </w:pPr>
            <w:r w:rsidRPr="003C36B5">
              <w:rPr>
                <w:sz w:val="16"/>
              </w:rPr>
              <w:t>Qualité et classification d’un domaine</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I</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622" w:type="dxa"/>
            <w:shd w:val="clear" w:color="auto" w:fill="auto"/>
          </w:tcPr>
          <w:p w:rsidR="00ED107C" w:rsidRPr="003C36B5" w:rsidRDefault="003C36B5" w:rsidP="003C36B5">
            <w:pPr>
              <w:pStyle w:val="Compact"/>
              <w:spacing w:before="20" w:after="20"/>
              <w:jc w:val="center"/>
              <w:rPr>
                <w:sz w:val="16"/>
              </w:rPr>
            </w:pPr>
            <w:r w:rsidRPr="003C36B5">
              <w:rPr>
                <w:sz w:val="16"/>
              </w:rPr>
              <w:t>I</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A/R</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R</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C</w:t>
            </w:r>
          </w:p>
        </w:tc>
      </w:tr>
      <w:tr w:rsidR="00ED107C" w:rsidRPr="003C36B5" w:rsidTr="003C36B5">
        <w:tc>
          <w:tcPr>
            <w:tcW w:w="3203" w:type="dxa"/>
            <w:shd w:val="clear" w:color="auto" w:fill="auto"/>
          </w:tcPr>
          <w:p w:rsidR="00ED107C" w:rsidRPr="003C36B5" w:rsidRDefault="003C36B5" w:rsidP="003C36B5">
            <w:pPr>
              <w:pStyle w:val="Compact"/>
              <w:spacing w:before="20" w:after="20"/>
              <w:rPr>
                <w:sz w:val="16"/>
              </w:rPr>
            </w:pPr>
            <w:r w:rsidRPr="003C36B5">
              <w:rPr>
                <w:sz w:val="16"/>
              </w:rPr>
              <w:t>Implémenter contrôles et pipelines</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I</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A/R</w:t>
            </w:r>
          </w:p>
        </w:tc>
        <w:tc>
          <w:tcPr>
            <w:tcW w:w="622" w:type="dxa"/>
            <w:shd w:val="clear" w:color="auto" w:fill="auto"/>
          </w:tcPr>
          <w:p w:rsidR="00ED107C" w:rsidRPr="003C36B5" w:rsidRDefault="003C36B5" w:rsidP="003C36B5">
            <w:pPr>
              <w:pStyle w:val="Compact"/>
              <w:spacing w:before="20" w:after="20"/>
              <w:jc w:val="center"/>
              <w:rPr>
                <w:sz w:val="16"/>
              </w:rPr>
            </w:pPr>
            <w:r w:rsidRPr="003C36B5">
              <w:rPr>
                <w:sz w:val="16"/>
              </w:rPr>
              <w:t>I</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R</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I</w:t>
            </w:r>
          </w:p>
        </w:tc>
      </w:tr>
      <w:tr w:rsidR="00ED107C" w:rsidRPr="003C36B5" w:rsidTr="003C36B5">
        <w:tc>
          <w:tcPr>
            <w:tcW w:w="3203" w:type="dxa"/>
            <w:shd w:val="clear" w:color="auto" w:fill="auto"/>
          </w:tcPr>
          <w:p w:rsidR="00ED107C" w:rsidRPr="003C36B5" w:rsidRDefault="003C36B5" w:rsidP="003C36B5">
            <w:pPr>
              <w:pStyle w:val="Compact"/>
              <w:spacing w:before="20" w:after="20"/>
              <w:rPr>
                <w:sz w:val="16"/>
              </w:rPr>
            </w:pPr>
            <w:r w:rsidRPr="003C36B5">
              <w:rPr>
                <w:sz w:val="16"/>
              </w:rPr>
              <w:t>Traiter les demandes des personnes</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I</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A</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622"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R</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R</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I</w:t>
            </w:r>
          </w:p>
        </w:tc>
      </w:tr>
      <w:tr w:rsidR="00ED107C" w:rsidRPr="003C36B5" w:rsidTr="003C36B5">
        <w:tc>
          <w:tcPr>
            <w:tcW w:w="3203" w:type="dxa"/>
            <w:shd w:val="clear" w:color="auto" w:fill="auto"/>
          </w:tcPr>
          <w:p w:rsidR="00ED107C" w:rsidRPr="003C36B5" w:rsidRDefault="003C36B5" w:rsidP="003C36B5">
            <w:pPr>
              <w:pStyle w:val="Compact"/>
              <w:spacing w:before="20" w:after="20"/>
              <w:rPr>
                <w:sz w:val="16"/>
              </w:rPr>
            </w:pPr>
            <w:r w:rsidRPr="003C36B5">
              <w:rPr>
                <w:sz w:val="16"/>
              </w:rPr>
              <w:t>Gérer un incident de données personnelles</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A/R</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R</w:t>
            </w:r>
          </w:p>
        </w:tc>
        <w:tc>
          <w:tcPr>
            <w:tcW w:w="622"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R</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I</w:t>
            </w:r>
          </w:p>
        </w:tc>
      </w:tr>
      <w:tr w:rsidR="00ED107C" w:rsidRPr="003C36B5" w:rsidTr="003C36B5">
        <w:tc>
          <w:tcPr>
            <w:tcW w:w="3203" w:type="dxa"/>
            <w:shd w:val="clear" w:color="auto" w:fill="auto"/>
          </w:tcPr>
          <w:p w:rsidR="00ED107C" w:rsidRPr="003C36B5" w:rsidRDefault="003C36B5" w:rsidP="003C36B5">
            <w:pPr>
              <w:pStyle w:val="Compact"/>
              <w:spacing w:before="20" w:after="20"/>
              <w:rPr>
                <w:sz w:val="16"/>
              </w:rPr>
            </w:pPr>
            <w:r w:rsidRPr="003C36B5">
              <w:rPr>
                <w:sz w:val="16"/>
              </w:rPr>
              <w:t>Auditer les biais de recommandation</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A</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R</w:t>
            </w:r>
          </w:p>
        </w:tc>
        <w:tc>
          <w:tcPr>
            <w:tcW w:w="622"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R</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C</w:t>
            </w:r>
          </w:p>
        </w:tc>
      </w:tr>
      <w:tr w:rsidR="00ED107C" w:rsidRPr="003C36B5" w:rsidTr="003C36B5">
        <w:tc>
          <w:tcPr>
            <w:tcW w:w="3203" w:type="dxa"/>
            <w:shd w:val="clear" w:color="auto" w:fill="auto"/>
          </w:tcPr>
          <w:p w:rsidR="00ED107C" w:rsidRPr="003C36B5" w:rsidRDefault="003C36B5" w:rsidP="003C36B5">
            <w:pPr>
              <w:pStyle w:val="Compact"/>
              <w:spacing w:before="20" w:after="20"/>
              <w:rPr>
                <w:sz w:val="16"/>
              </w:rPr>
            </w:pPr>
            <w:r w:rsidRPr="003C36B5">
              <w:rPr>
                <w:sz w:val="16"/>
              </w:rPr>
              <w:t>Former et animer la culture data</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A/R</w:t>
            </w:r>
          </w:p>
        </w:tc>
        <w:tc>
          <w:tcPr>
            <w:tcW w:w="533" w:type="dxa"/>
            <w:shd w:val="clear" w:color="auto" w:fill="auto"/>
          </w:tcPr>
          <w:p w:rsidR="00ED107C" w:rsidRPr="003C36B5" w:rsidRDefault="003C36B5" w:rsidP="003C36B5">
            <w:pPr>
              <w:pStyle w:val="Compact"/>
              <w:spacing w:before="20" w:after="20"/>
              <w:jc w:val="center"/>
              <w:rPr>
                <w:sz w:val="16"/>
              </w:rPr>
            </w:pPr>
            <w:r w:rsidRPr="003C36B5">
              <w:rPr>
                <w:sz w:val="16"/>
              </w:rPr>
              <w:t>R</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C</w:t>
            </w:r>
          </w:p>
        </w:tc>
        <w:tc>
          <w:tcPr>
            <w:tcW w:w="622" w:type="dxa"/>
            <w:shd w:val="clear" w:color="auto" w:fill="auto"/>
          </w:tcPr>
          <w:p w:rsidR="00ED107C" w:rsidRPr="003C36B5" w:rsidRDefault="003C36B5" w:rsidP="003C36B5">
            <w:pPr>
              <w:pStyle w:val="Compact"/>
              <w:spacing w:before="20" w:after="20"/>
              <w:jc w:val="center"/>
              <w:rPr>
                <w:sz w:val="16"/>
              </w:rPr>
            </w:pPr>
            <w:r w:rsidRPr="003C36B5">
              <w:rPr>
                <w:sz w:val="16"/>
              </w:rPr>
              <w:t>I</w:t>
            </w:r>
          </w:p>
        </w:tc>
        <w:tc>
          <w:tcPr>
            <w:tcW w:w="711" w:type="dxa"/>
            <w:shd w:val="clear" w:color="auto" w:fill="auto"/>
          </w:tcPr>
          <w:p w:rsidR="00ED107C" w:rsidRPr="003C36B5" w:rsidRDefault="003C36B5" w:rsidP="003C36B5">
            <w:pPr>
              <w:pStyle w:val="Compact"/>
              <w:spacing w:before="20" w:after="20"/>
              <w:jc w:val="center"/>
              <w:rPr>
                <w:sz w:val="16"/>
              </w:rPr>
            </w:pPr>
            <w:r w:rsidRPr="003C36B5">
              <w:rPr>
                <w:sz w:val="16"/>
              </w:rPr>
              <w:t>R</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I</w:t>
            </w:r>
          </w:p>
        </w:tc>
        <w:tc>
          <w:tcPr>
            <w:tcW w:w="800" w:type="dxa"/>
            <w:shd w:val="clear" w:color="auto" w:fill="auto"/>
          </w:tcPr>
          <w:p w:rsidR="00ED107C" w:rsidRPr="003C36B5" w:rsidRDefault="003C36B5" w:rsidP="003C36B5">
            <w:pPr>
              <w:pStyle w:val="Compact"/>
              <w:spacing w:before="20" w:after="20"/>
              <w:jc w:val="center"/>
              <w:rPr>
                <w:sz w:val="16"/>
              </w:rPr>
            </w:pPr>
            <w:r w:rsidRPr="003C36B5">
              <w:rPr>
                <w:sz w:val="16"/>
              </w:rPr>
              <w:t>C</w:t>
            </w:r>
          </w:p>
        </w:tc>
      </w:tr>
    </w:tbl>
    <w:p w:rsidR="00ED107C" w:rsidRDefault="003C36B5">
      <w:pPr>
        <w:pStyle w:val="Titre2"/>
      </w:pPr>
      <w:bookmarkStart w:id="27" w:name="application-exceptions-et-suivi"/>
      <w:bookmarkStart w:id="28" w:name="_Toc240702665"/>
      <w:bookmarkEnd w:id="25"/>
      <w:r>
        <w:t>7. Application, exceptions et suivi</w:t>
      </w:r>
      <w:bookmarkEnd w:id="28"/>
    </w:p>
    <w:p w:rsidR="00ED107C" w:rsidRDefault="003C36B5">
      <w:pPr>
        <w:pStyle w:val="FirstParagraph"/>
      </w:pPr>
      <w:r>
        <w:t xml:space="preserve">Le respect de cette politique est une obligation professionnelle ; les manquements sont traités selon les procédures RH et peuvent entraîner le retrait des accès. Toute exception est demandée par écrit au Data Steward, validée par le CDO (et le DPO si des </w:t>
      </w:r>
      <w:r>
        <w:t xml:space="preserve">données personnelles sont concernées), limitée dans le temps et consignée. Le CDO rend compte trimestriellement au comité exécutif des KPIs de gouvernance (qualité, délais de réponse aux droits, incidents, couverture du catalogue, formation). La politique </w:t>
      </w:r>
      <w:r>
        <w:t>est revue chaque année ; la version 1.0 est déployée d’abord sur le domaine User Data (voir plan d’implémentation).</w:t>
      </w:r>
    </w:p>
    <w:p w:rsidR="00ED107C" w:rsidRDefault="003C36B5">
      <w:pPr>
        <w:pStyle w:val="Titre1"/>
      </w:pPr>
      <w:bookmarkStart w:id="29" w:name="partie-3-organisation-rôles"/>
      <w:bookmarkStart w:id="30" w:name="_Toc240702666"/>
      <w:bookmarkEnd w:id="27"/>
      <w:bookmarkEnd w:id="13"/>
      <w:r>
        <w:lastRenderedPageBreak/>
        <w:t>Partie 3 — Organisation &amp; rôles</w:t>
      </w:r>
      <w:bookmarkEnd w:id="30"/>
    </w:p>
    <w:p w:rsidR="00ED107C" w:rsidRDefault="003C36B5">
      <w:pPr>
        <w:pStyle w:val="FirstParagraph"/>
      </w:pPr>
      <w:r>
        <w:t xml:space="preserve">Modèle </w:t>
      </w:r>
      <w:r>
        <w:rPr>
          <w:b/>
          <w:bCs/>
        </w:rPr>
        <w:t>Centre of Excellence</w:t>
      </w:r>
      <w:r>
        <w:t xml:space="preserve"> </w:t>
      </w:r>
      <w:r>
        <w:t>: la gouvernance (CDO, CoE, Data Stewards) définit les standards et audite ; le data management (CTO, Head of Engineering, Data Engineers) implémente. Deux lignes hiérarchiques distinctes, une collaboration formalisée par le RACI (Partie 2, §6). Le DPO est</w:t>
      </w:r>
      <w:r>
        <w:t xml:space="preserve"> hors de la ligne du CDO pour garantir son indépendance (GDPR art. 38).</w:t>
      </w:r>
    </w:p>
    <w:p w:rsidR="00ED107C" w:rsidRDefault="003C36B5" w:rsidP="003C36B5">
      <w:pPr>
        <w:pStyle w:val="Corpsdetexte"/>
        <w:spacing w:after="40"/>
        <w:jc w:val="center"/>
      </w:pPr>
      <w:r>
        <w:rPr>
          <w:noProof/>
          <w:lang w:val="fr-FR" w:eastAsia="fr-FR"/>
        </w:rPr>
        <w:drawing>
          <wp:inline distT="0" distB="0" distL="0" distR="0">
            <wp:extent cx="5334000" cy="2220277"/>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ssets/organigramme.png"/>
                    <pic:cNvPicPr>
                      <a:picLocks noChangeAspect="1" noChangeArrowheads="1"/>
                    </pic:cNvPicPr>
                  </pic:nvPicPr>
                  <pic:blipFill>
                    <a:blip r:embed="rId8"/>
                    <a:stretch>
                      <a:fillRect/>
                    </a:stretch>
                  </pic:blipFill>
                  <pic:spPr bwMode="auto">
                    <a:xfrm>
                      <a:off x="0" y="0"/>
                      <a:ext cx="5334000" cy="2220277"/>
                    </a:xfrm>
                    <a:prstGeom prst="rect">
                      <a:avLst/>
                    </a:prstGeom>
                    <a:noFill/>
                    <a:ln w="9525">
                      <a:noFill/>
                      <a:headEnd/>
                      <a:tailEnd/>
                    </a:ln>
                  </pic:spPr>
                </pic:pic>
              </a:graphicData>
            </a:graphic>
          </wp:inline>
        </w:drawing>
      </w:r>
    </w:p>
    <w:p w:rsidR="00ED107C" w:rsidRDefault="003C36B5">
      <w:pPr>
        <w:pStyle w:val="Corpsdetexte"/>
      </w:pPr>
      <w:r>
        <w:rPr>
          <w:b/>
          <w:bCs/>
        </w:rPr>
        <w:t>Data Governance Committee — composition et ordre du jour type (mensuel, 60 min)</w:t>
      </w:r>
      <w:r>
        <w:t xml:space="preserve"> : CDO (président), DPO, Head of Engineering, Marketing Director, Legal, 5 Data Stewards, 1 représentan</w:t>
      </w:r>
      <w:r>
        <w:t>t Product. Ordre du jour : KPIs qualité par domaine · incidents et demandes des personnes · nouveaux traitements / DPIA · avancement du plan · audits de biais · décisions.</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547"/>
        <w:gridCol w:w="2547"/>
        <w:gridCol w:w="2547"/>
        <w:gridCol w:w="2547"/>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Rôle</w:t>
            </w:r>
          </w:p>
        </w:tc>
        <w:tc>
          <w:tcPr>
            <w:tcW w:w="198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Rattachement</w:t>
            </w:r>
          </w:p>
        </w:tc>
        <w:tc>
          <w:tcPr>
            <w:tcW w:w="198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Responsabilité principale</w:t>
            </w:r>
          </w:p>
        </w:tc>
        <w:tc>
          <w:tcPr>
            <w:tcW w:w="198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Tâches clés</w:t>
            </w:r>
          </w:p>
        </w:tc>
      </w:tr>
      <w:tr w:rsidR="00ED107C" w:rsidRPr="003C36B5" w:rsidTr="003C36B5">
        <w:tc>
          <w:tcPr>
            <w:tcW w:w="1980" w:type="dxa"/>
            <w:shd w:val="clear" w:color="auto" w:fill="auto"/>
          </w:tcPr>
          <w:p w:rsidR="00ED107C" w:rsidRPr="003C36B5" w:rsidRDefault="003C36B5" w:rsidP="003C36B5">
            <w:pPr>
              <w:pStyle w:val="Compact"/>
              <w:spacing w:before="20" w:after="20"/>
              <w:rPr>
                <w:sz w:val="16"/>
              </w:rPr>
            </w:pPr>
            <w:r w:rsidRPr="003C36B5">
              <w:rPr>
                <w:b/>
                <w:bCs/>
                <w:sz w:val="16"/>
              </w:rPr>
              <w:t>Chief Data Officer</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CEO</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Diri</w:t>
            </w:r>
            <w:r w:rsidRPr="003C36B5">
              <w:rPr>
                <w:sz w:val="16"/>
              </w:rPr>
              <w:t>ger la stratégie et la gouvernance des données</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Définir les politiques ; arbitrer les conflits inter-domaines ; piloter le CoE et le Committee ; aligner avec les priorités business ; rendre compte au comité exécutif</w:t>
            </w:r>
          </w:p>
        </w:tc>
      </w:tr>
      <w:tr w:rsidR="00ED107C" w:rsidRPr="003C36B5" w:rsidTr="003C36B5">
        <w:tc>
          <w:tcPr>
            <w:tcW w:w="1980" w:type="dxa"/>
            <w:shd w:val="clear" w:color="auto" w:fill="auto"/>
          </w:tcPr>
          <w:p w:rsidR="00ED107C" w:rsidRPr="003C36B5" w:rsidRDefault="003C36B5" w:rsidP="003C36B5">
            <w:pPr>
              <w:pStyle w:val="Compact"/>
              <w:spacing w:before="20" w:after="20"/>
              <w:rPr>
                <w:sz w:val="16"/>
              </w:rPr>
            </w:pPr>
            <w:r w:rsidRPr="003C36B5">
              <w:rPr>
                <w:b/>
                <w:bCs/>
                <w:sz w:val="16"/>
              </w:rPr>
              <w:t>Data Protection Officer</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CEO (indépendant)</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Garantir la conformité GDPR, CCPA et réglementations locales</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Registre des traitements ; DPIA ; contact des autorités ; pilotage des incidents et notification 72 h ; direction de la Privacy Team ; veille réglementaire avec Legal</w:t>
            </w:r>
          </w:p>
        </w:tc>
      </w:tr>
      <w:tr w:rsidR="00ED107C" w:rsidRPr="003C36B5" w:rsidTr="003C36B5">
        <w:tc>
          <w:tcPr>
            <w:tcW w:w="1980" w:type="dxa"/>
            <w:shd w:val="clear" w:color="auto" w:fill="auto"/>
          </w:tcPr>
          <w:p w:rsidR="00ED107C" w:rsidRPr="003C36B5" w:rsidRDefault="003C36B5" w:rsidP="003C36B5">
            <w:pPr>
              <w:pStyle w:val="Compact"/>
              <w:spacing w:before="20" w:after="20"/>
              <w:rPr>
                <w:sz w:val="16"/>
              </w:rPr>
            </w:pPr>
            <w:r w:rsidRPr="003C36B5">
              <w:rPr>
                <w:b/>
                <w:bCs/>
                <w:sz w:val="16"/>
              </w:rPr>
              <w:t>Data Gove</w:t>
            </w:r>
            <w:r w:rsidRPr="003C36B5">
              <w:rPr>
                <w:b/>
                <w:bCs/>
                <w:sz w:val="16"/>
              </w:rPr>
              <w:t>rnance Committee</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Présidé par le CDO</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Guider le framework et assurer l’alignement transverse</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Approuver politiques et standards ; traiter les sujets inter-départements ; suivre les KPIs ; valider les Go/No-Go du plan</w:t>
            </w:r>
          </w:p>
        </w:tc>
      </w:tr>
      <w:tr w:rsidR="00ED107C" w:rsidRPr="003C36B5" w:rsidTr="003C36B5">
        <w:tc>
          <w:tcPr>
            <w:tcW w:w="1980" w:type="dxa"/>
            <w:shd w:val="clear" w:color="auto" w:fill="auto"/>
          </w:tcPr>
          <w:p w:rsidR="00ED107C" w:rsidRPr="003C36B5" w:rsidRDefault="003C36B5" w:rsidP="003C36B5">
            <w:pPr>
              <w:pStyle w:val="Compact"/>
              <w:spacing w:before="20" w:after="20"/>
              <w:rPr>
                <w:sz w:val="16"/>
              </w:rPr>
            </w:pPr>
            <w:r w:rsidRPr="003C36B5">
              <w:rPr>
                <w:b/>
                <w:bCs/>
                <w:sz w:val="16"/>
              </w:rPr>
              <w:t>Data Steward</w:t>
            </w:r>
            <w:r w:rsidRPr="003C36B5">
              <w:rPr>
                <w:sz w:val="16"/>
              </w:rPr>
              <w:t xml:space="preserve"> (×5 : User, Content, Payment</w:t>
            </w:r>
            <w:r w:rsidRPr="003C36B5">
              <w:rPr>
                <w:sz w:val="16"/>
              </w:rPr>
              <w:t>s, Ads, Marketing)</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CoE + business unit</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Superviser les pratiques data de son domaine</w:t>
            </w:r>
          </w:p>
        </w:tc>
        <w:tc>
          <w:tcPr>
            <w:tcW w:w="1980" w:type="dxa"/>
            <w:shd w:val="clear" w:color="auto" w:fill="auto"/>
          </w:tcPr>
          <w:p w:rsidR="00ED107C" w:rsidRPr="003C36B5" w:rsidRDefault="003C36B5" w:rsidP="003C36B5">
            <w:pPr>
              <w:pStyle w:val="Compact"/>
              <w:spacing w:before="20" w:after="20"/>
              <w:rPr>
                <w:sz w:val="16"/>
              </w:rPr>
            </w:pPr>
            <w:r w:rsidRPr="003C36B5">
              <w:rPr>
                <w:sz w:val="16"/>
              </w:rPr>
              <w:t>Qualité, classification et durées de conservation ; accorder et revoir les accès ; alimenter le catalogue ; faire appliquer la politique ; reporting mensuel</w:t>
            </w:r>
          </w:p>
        </w:tc>
      </w:tr>
    </w:tbl>
    <w:p w:rsidR="00ED107C" w:rsidRDefault="003C36B5">
      <w:pPr>
        <w:pStyle w:val="Corpsdetexte"/>
      </w:pPr>
      <w:r>
        <w:rPr>
          <w:b/>
          <w:bCs/>
        </w:rPr>
        <w:t>Parties prenan</w:t>
      </w:r>
      <w:r>
        <w:rPr>
          <w:b/>
          <w:bCs/>
        </w:rPr>
        <w:t>tes</w:t>
      </w:r>
      <w:r>
        <w:t xml:space="preserve"> (business case) :</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5094"/>
        <w:gridCol w:w="5094"/>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Rôle</w:t>
            </w:r>
          </w:p>
        </w:tc>
        <w:tc>
          <w:tcPr>
            <w:tcW w:w="396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Contribution à la gouvernance</w:t>
            </w:r>
          </w:p>
        </w:tc>
      </w:tr>
      <w:tr w:rsidR="00ED107C" w:rsidRPr="003C36B5" w:rsidTr="003C36B5">
        <w:tc>
          <w:tcPr>
            <w:tcW w:w="3960" w:type="dxa"/>
            <w:shd w:val="clear" w:color="auto" w:fill="auto"/>
          </w:tcPr>
          <w:p w:rsidR="00ED107C" w:rsidRPr="003C36B5" w:rsidRDefault="003C36B5" w:rsidP="003C36B5">
            <w:pPr>
              <w:pStyle w:val="Compact"/>
              <w:spacing w:before="20" w:after="20"/>
              <w:rPr>
                <w:sz w:val="16"/>
              </w:rPr>
            </w:pPr>
            <w:r w:rsidRPr="003C36B5">
              <w:rPr>
                <w:sz w:val="16"/>
              </w:rPr>
              <w:t>Head of Engineering (sous le CTO)</w:t>
            </w:r>
          </w:p>
        </w:tc>
        <w:tc>
          <w:tcPr>
            <w:tcW w:w="3960" w:type="dxa"/>
            <w:shd w:val="clear" w:color="auto" w:fill="auto"/>
          </w:tcPr>
          <w:p w:rsidR="00ED107C" w:rsidRPr="003C36B5" w:rsidRDefault="003C36B5" w:rsidP="003C36B5">
            <w:pPr>
              <w:pStyle w:val="Compact"/>
              <w:spacing w:before="20" w:after="20"/>
              <w:rPr>
                <w:sz w:val="16"/>
              </w:rPr>
            </w:pPr>
            <w:r w:rsidRPr="003C36B5">
              <w:rPr>
                <w:sz w:val="16"/>
              </w:rPr>
              <w:t>Implémentation technique : pipelines, chiffrement, SIEM, pipeline d’effacement, scalabilité</w:t>
            </w:r>
          </w:p>
        </w:tc>
      </w:tr>
      <w:tr w:rsidR="00ED107C" w:rsidRPr="003C36B5" w:rsidTr="003C36B5">
        <w:tc>
          <w:tcPr>
            <w:tcW w:w="3960" w:type="dxa"/>
            <w:shd w:val="clear" w:color="auto" w:fill="auto"/>
          </w:tcPr>
          <w:p w:rsidR="00ED107C" w:rsidRPr="003C36B5" w:rsidRDefault="003C36B5" w:rsidP="003C36B5">
            <w:pPr>
              <w:pStyle w:val="Compact"/>
              <w:spacing w:before="20" w:after="20"/>
              <w:rPr>
                <w:sz w:val="16"/>
              </w:rPr>
            </w:pPr>
            <w:r w:rsidRPr="003C36B5">
              <w:rPr>
                <w:sz w:val="16"/>
              </w:rPr>
              <w:t>Legal Team</w:t>
            </w:r>
          </w:p>
        </w:tc>
        <w:tc>
          <w:tcPr>
            <w:tcW w:w="3960" w:type="dxa"/>
            <w:shd w:val="clear" w:color="auto" w:fill="auto"/>
          </w:tcPr>
          <w:p w:rsidR="00ED107C" w:rsidRPr="003C36B5" w:rsidRDefault="003C36B5" w:rsidP="003C36B5">
            <w:pPr>
              <w:pStyle w:val="Compact"/>
              <w:spacing w:before="20" w:after="20"/>
              <w:rPr>
                <w:sz w:val="16"/>
              </w:rPr>
            </w:pPr>
            <w:r w:rsidRPr="003C36B5">
              <w:rPr>
                <w:sz w:val="16"/>
              </w:rPr>
              <w:t>Validation juridique des politiques, contrats fournisseurs, litiges</w:t>
            </w:r>
          </w:p>
        </w:tc>
      </w:tr>
      <w:tr w:rsidR="00ED107C" w:rsidRPr="003C36B5" w:rsidTr="003C36B5">
        <w:tc>
          <w:tcPr>
            <w:tcW w:w="3960" w:type="dxa"/>
            <w:shd w:val="clear" w:color="auto" w:fill="auto"/>
          </w:tcPr>
          <w:p w:rsidR="00ED107C" w:rsidRPr="003C36B5" w:rsidRDefault="003C36B5" w:rsidP="003C36B5">
            <w:pPr>
              <w:pStyle w:val="Compact"/>
              <w:spacing w:before="20" w:after="20"/>
              <w:rPr>
                <w:sz w:val="16"/>
              </w:rPr>
            </w:pPr>
            <w:r w:rsidRPr="003C36B5">
              <w:rPr>
                <w:sz w:val="16"/>
              </w:rPr>
              <w:t>Marketing Director</w:t>
            </w:r>
          </w:p>
        </w:tc>
        <w:tc>
          <w:tcPr>
            <w:tcW w:w="3960" w:type="dxa"/>
            <w:shd w:val="clear" w:color="auto" w:fill="auto"/>
          </w:tcPr>
          <w:p w:rsidR="00ED107C" w:rsidRPr="003C36B5" w:rsidRDefault="003C36B5" w:rsidP="003C36B5">
            <w:pPr>
              <w:pStyle w:val="Compact"/>
              <w:spacing w:before="20" w:after="20"/>
              <w:rPr>
                <w:sz w:val="16"/>
              </w:rPr>
            </w:pPr>
            <w:r w:rsidRPr="003C36B5">
              <w:rPr>
                <w:sz w:val="16"/>
              </w:rPr>
              <w:t>Conformité des campagnes (consentement, opt-out), qualité des données marketing</w:t>
            </w:r>
          </w:p>
        </w:tc>
      </w:tr>
      <w:tr w:rsidR="00ED107C" w:rsidRPr="003C36B5" w:rsidTr="003C36B5">
        <w:tc>
          <w:tcPr>
            <w:tcW w:w="3960" w:type="dxa"/>
            <w:shd w:val="clear" w:color="auto" w:fill="auto"/>
          </w:tcPr>
          <w:p w:rsidR="00ED107C" w:rsidRPr="003C36B5" w:rsidRDefault="003C36B5" w:rsidP="003C36B5">
            <w:pPr>
              <w:pStyle w:val="Compact"/>
              <w:spacing w:before="20" w:after="20"/>
              <w:rPr>
                <w:sz w:val="16"/>
              </w:rPr>
            </w:pPr>
            <w:r w:rsidRPr="003C36B5">
              <w:rPr>
                <w:sz w:val="16"/>
              </w:rPr>
              <w:t>Product Managers</w:t>
            </w:r>
          </w:p>
        </w:tc>
        <w:tc>
          <w:tcPr>
            <w:tcW w:w="3960" w:type="dxa"/>
            <w:shd w:val="clear" w:color="auto" w:fill="auto"/>
          </w:tcPr>
          <w:p w:rsidR="00ED107C" w:rsidRPr="003C36B5" w:rsidRDefault="003C36B5" w:rsidP="003C36B5">
            <w:pPr>
              <w:pStyle w:val="Compact"/>
              <w:spacing w:before="20" w:after="20"/>
              <w:rPr>
                <w:sz w:val="16"/>
              </w:rPr>
            </w:pPr>
            <w:r w:rsidRPr="003C36B5">
              <w:rPr>
                <w:sz w:val="16"/>
              </w:rPr>
              <w:t>Privacy by design, DPIA sur chaque nouvelle feature, qualité des donné</w:t>
            </w:r>
            <w:r w:rsidRPr="003C36B5">
              <w:rPr>
                <w:sz w:val="16"/>
              </w:rPr>
              <w:t>es produit</w:t>
            </w:r>
          </w:p>
        </w:tc>
      </w:tr>
      <w:tr w:rsidR="00ED107C" w:rsidRPr="003C36B5" w:rsidTr="003C36B5">
        <w:tc>
          <w:tcPr>
            <w:tcW w:w="3960" w:type="dxa"/>
            <w:shd w:val="clear" w:color="auto" w:fill="auto"/>
          </w:tcPr>
          <w:p w:rsidR="00ED107C" w:rsidRPr="003C36B5" w:rsidRDefault="003C36B5" w:rsidP="003C36B5">
            <w:pPr>
              <w:pStyle w:val="Compact"/>
              <w:spacing w:before="20" w:after="20"/>
              <w:rPr>
                <w:sz w:val="16"/>
              </w:rPr>
            </w:pPr>
            <w:r w:rsidRPr="003C36B5">
              <w:rPr>
                <w:sz w:val="16"/>
              </w:rPr>
              <w:t>Privacy Team (DPO + 2 analystes)</w:t>
            </w:r>
          </w:p>
        </w:tc>
        <w:tc>
          <w:tcPr>
            <w:tcW w:w="3960" w:type="dxa"/>
            <w:shd w:val="clear" w:color="auto" w:fill="auto"/>
          </w:tcPr>
          <w:p w:rsidR="00ED107C" w:rsidRPr="003C36B5" w:rsidRDefault="003C36B5" w:rsidP="003C36B5">
            <w:pPr>
              <w:pStyle w:val="Compact"/>
              <w:spacing w:before="20" w:after="20"/>
              <w:rPr>
                <w:sz w:val="16"/>
              </w:rPr>
            </w:pPr>
            <w:r w:rsidRPr="003C36B5">
              <w:rPr>
                <w:sz w:val="16"/>
              </w:rPr>
              <w:t>Traitement des demandes des personnes dans les délais légaux (1 mois GDPR, 45 j CCPA)</w:t>
            </w:r>
          </w:p>
        </w:tc>
      </w:tr>
    </w:tbl>
    <w:p w:rsidR="00ED107C" w:rsidRDefault="003C36B5">
      <w:pPr>
        <w:pStyle w:val="Titre1"/>
      </w:pPr>
      <w:bookmarkStart w:id="31" w:name="partie-4-implementation-plan-pilote"/>
      <w:bookmarkStart w:id="32" w:name="_Toc240702667"/>
      <w:bookmarkEnd w:id="29"/>
      <w:r>
        <w:lastRenderedPageBreak/>
        <w:t>Partie 4 — Implementation Plan &amp; pilote</w:t>
      </w:r>
      <w:bookmarkEnd w:id="32"/>
    </w:p>
    <w:p w:rsidR="00ED107C" w:rsidRDefault="003C36B5">
      <w:pPr>
        <w:pStyle w:val="Titre2"/>
      </w:pPr>
      <w:bookmarkStart w:id="33" w:name="X39f6e01e3da74535cc25d3eadb3c7e457c5a7b6"/>
      <w:bookmarkStart w:id="34" w:name="_Toc240702668"/>
      <w:r>
        <w:t>1. Modèle organisationnel : Centre of Excellence (CoE)</w:t>
      </w:r>
      <w:bookmarkEnd w:id="34"/>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871"/>
        <w:gridCol w:w="2495"/>
        <w:gridCol w:w="2703"/>
        <w:gridCol w:w="3119"/>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1454"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Modèle (Organizational Models</w:t>
            </w:r>
            <w:r w:rsidRPr="003C36B5">
              <w:rPr>
                <w:b/>
                <w:sz w:val="16"/>
              </w:rPr>
              <w:t xml:space="preserve"> Overview)</w:t>
            </w:r>
          </w:p>
        </w:tc>
        <w:tc>
          <w:tcPr>
            <w:tcW w:w="1939"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Avantages</w:t>
            </w:r>
          </w:p>
        </w:tc>
        <w:tc>
          <w:tcPr>
            <w:tcW w:w="2101"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Failles</w:t>
            </w:r>
          </w:p>
        </w:tc>
        <w:tc>
          <w:tcPr>
            <w:tcW w:w="2424"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Verdict pour Spotify</w:t>
            </w:r>
          </w:p>
        </w:tc>
      </w:tr>
      <w:tr w:rsidR="00ED107C" w:rsidRPr="003C36B5" w:rsidTr="003C36B5">
        <w:tc>
          <w:tcPr>
            <w:tcW w:w="1454" w:type="dxa"/>
            <w:shd w:val="clear" w:color="auto" w:fill="auto"/>
          </w:tcPr>
          <w:p w:rsidR="00ED107C" w:rsidRPr="003C36B5" w:rsidRDefault="003C36B5" w:rsidP="003C36B5">
            <w:pPr>
              <w:pStyle w:val="Compact"/>
              <w:spacing w:before="20" w:after="20"/>
              <w:rPr>
                <w:sz w:val="16"/>
              </w:rPr>
            </w:pPr>
            <w:r w:rsidRPr="003C36B5">
              <w:rPr>
                <w:b/>
                <w:bCs/>
                <w:sz w:val="16"/>
              </w:rPr>
              <w:t>Centralisé</w:t>
            </w:r>
          </w:p>
        </w:tc>
        <w:tc>
          <w:tcPr>
            <w:tcW w:w="1939" w:type="dxa"/>
            <w:shd w:val="clear" w:color="auto" w:fill="auto"/>
          </w:tcPr>
          <w:p w:rsidR="00ED107C" w:rsidRPr="003C36B5" w:rsidRDefault="003C36B5" w:rsidP="003C36B5">
            <w:pPr>
              <w:pStyle w:val="Compact"/>
              <w:spacing w:before="20" w:after="20"/>
              <w:rPr>
                <w:sz w:val="16"/>
              </w:rPr>
            </w:pPr>
            <w:r w:rsidRPr="003C36B5">
              <w:rPr>
                <w:sz w:val="16"/>
              </w:rPr>
              <w:t>Simple, priorisation claire</w:t>
            </w:r>
          </w:p>
        </w:tc>
        <w:tc>
          <w:tcPr>
            <w:tcW w:w="2101" w:type="dxa"/>
            <w:shd w:val="clear" w:color="auto" w:fill="auto"/>
          </w:tcPr>
          <w:p w:rsidR="00ED107C" w:rsidRPr="003C36B5" w:rsidRDefault="003C36B5" w:rsidP="003C36B5">
            <w:pPr>
              <w:pStyle w:val="Compact"/>
              <w:spacing w:before="20" w:after="20"/>
              <w:rPr>
                <w:sz w:val="16"/>
              </w:rPr>
            </w:pPr>
            <w:r w:rsidRPr="003C36B5">
              <w:rPr>
                <w:sz w:val="16"/>
              </w:rPr>
              <w:t>Les métiers ne s’approprient pas la donnée ; goulot d’étranglement</w:t>
            </w:r>
          </w:p>
        </w:tc>
        <w:tc>
          <w:tcPr>
            <w:tcW w:w="2424" w:type="dxa"/>
            <w:shd w:val="clear" w:color="auto" w:fill="auto"/>
          </w:tcPr>
          <w:p w:rsidR="00ED107C" w:rsidRPr="003C36B5" w:rsidRDefault="003C36B5" w:rsidP="003C36B5">
            <w:pPr>
              <w:pStyle w:val="Compact"/>
              <w:spacing w:before="20" w:after="20"/>
              <w:rPr>
                <w:sz w:val="16"/>
              </w:rPr>
            </w:pPr>
            <w:r w:rsidRPr="003C36B5">
              <w:rPr>
                <w:sz w:val="16"/>
              </w:rPr>
              <w:t>Non : 180+ pays, squads autonomes</w:t>
            </w:r>
          </w:p>
        </w:tc>
      </w:tr>
      <w:tr w:rsidR="00ED107C" w:rsidRPr="003C36B5" w:rsidTr="003C36B5">
        <w:tc>
          <w:tcPr>
            <w:tcW w:w="1454" w:type="dxa"/>
            <w:shd w:val="clear" w:color="auto" w:fill="auto"/>
          </w:tcPr>
          <w:p w:rsidR="00ED107C" w:rsidRPr="003C36B5" w:rsidRDefault="003C36B5" w:rsidP="003C36B5">
            <w:pPr>
              <w:pStyle w:val="Compact"/>
              <w:spacing w:before="20" w:after="20"/>
              <w:rPr>
                <w:sz w:val="16"/>
              </w:rPr>
            </w:pPr>
            <w:r w:rsidRPr="003C36B5">
              <w:rPr>
                <w:b/>
                <w:bCs/>
                <w:sz w:val="16"/>
              </w:rPr>
              <w:t>Embedded</w:t>
            </w:r>
          </w:p>
        </w:tc>
        <w:tc>
          <w:tcPr>
            <w:tcW w:w="1939" w:type="dxa"/>
            <w:shd w:val="clear" w:color="auto" w:fill="auto"/>
          </w:tcPr>
          <w:p w:rsidR="00ED107C" w:rsidRPr="003C36B5" w:rsidRDefault="003C36B5" w:rsidP="003C36B5">
            <w:pPr>
              <w:pStyle w:val="Compact"/>
              <w:spacing w:before="20" w:after="20"/>
              <w:rPr>
                <w:sz w:val="16"/>
              </w:rPr>
            </w:pPr>
            <w:r w:rsidRPr="003C36B5">
              <w:rPr>
                <w:sz w:val="16"/>
              </w:rPr>
              <w:t>Agile, proche du métier</w:t>
            </w:r>
          </w:p>
        </w:tc>
        <w:tc>
          <w:tcPr>
            <w:tcW w:w="2101" w:type="dxa"/>
            <w:shd w:val="clear" w:color="auto" w:fill="auto"/>
          </w:tcPr>
          <w:p w:rsidR="00ED107C" w:rsidRPr="003C36B5" w:rsidRDefault="003C36B5" w:rsidP="003C36B5">
            <w:pPr>
              <w:pStyle w:val="Compact"/>
              <w:spacing w:before="20" w:after="20"/>
              <w:rPr>
                <w:sz w:val="16"/>
              </w:rPr>
            </w:pPr>
            <w:r w:rsidRPr="003C36B5">
              <w:rPr>
                <w:sz w:val="16"/>
              </w:rPr>
              <w:t>Pas de source unique de vérité, silos</w:t>
            </w:r>
          </w:p>
        </w:tc>
        <w:tc>
          <w:tcPr>
            <w:tcW w:w="2424" w:type="dxa"/>
            <w:shd w:val="clear" w:color="auto" w:fill="auto"/>
          </w:tcPr>
          <w:p w:rsidR="00ED107C" w:rsidRPr="003C36B5" w:rsidRDefault="003C36B5" w:rsidP="003C36B5">
            <w:pPr>
              <w:pStyle w:val="Compact"/>
              <w:spacing w:before="20" w:after="20"/>
              <w:rPr>
                <w:sz w:val="16"/>
              </w:rPr>
            </w:pPr>
            <w:r w:rsidRPr="003C36B5">
              <w:rPr>
                <w:sz w:val="16"/>
              </w:rPr>
              <w:t>Non : c’est le modèle de fait actuel, il produit les silos constatés</w:t>
            </w:r>
          </w:p>
        </w:tc>
      </w:tr>
      <w:tr w:rsidR="00ED107C" w:rsidRPr="003C36B5" w:rsidTr="003C36B5">
        <w:tc>
          <w:tcPr>
            <w:tcW w:w="1454" w:type="dxa"/>
            <w:shd w:val="clear" w:color="auto" w:fill="auto"/>
          </w:tcPr>
          <w:p w:rsidR="00ED107C" w:rsidRPr="003C36B5" w:rsidRDefault="003C36B5" w:rsidP="003C36B5">
            <w:pPr>
              <w:pStyle w:val="Compact"/>
              <w:spacing w:before="20" w:after="20"/>
              <w:rPr>
                <w:sz w:val="16"/>
              </w:rPr>
            </w:pPr>
            <w:r w:rsidRPr="003C36B5">
              <w:rPr>
                <w:b/>
                <w:bCs/>
                <w:sz w:val="16"/>
              </w:rPr>
              <w:t>Centre of Excellence</w:t>
            </w:r>
          </w:p>
        </w:tc>
        <w:tc>
          <w:tcPr>
            <w:tcW w:w="1939" w:type="dxa"/>
            <w:shd w:val="clear" w:color="auto" w:fill="auto"/>
          </w:tcPr>
          <w:p w:rsidR="00ED107C" w:rsidRPr="003C36B5" w:rsidRDefault="003C36B5" w:rsidP="003C36B5">
            <w:pPr>
              <w:pStyle w:val="Compact"/>
              <w:spacing w:before="20" w:after="20"/>
              <w:rPr>
                <w:sz w:val="16"/>
              </w:rPr>
            </w:pPr>
            <w:r w:rsidRPr="003C36B5">
              <w:rPr>
                <w:sz w:val="16"/>
              </w:rPr>
              <w:t>Cumule les deux ; standards communs + relais dans chaque BU</w:t>
            </w:r>
          </w:p>
        </w:tc>
        <w:tc>
          <w:tcPr>
            <w:tcW w:w="2101" w:type="dxa"/>
            <w:shd w:val="clear" w:color="auto" w:fill="auto"/>
          </w:tcPr>
          <w:p w:rsidR="00ED107C" w:rsidRPr="003C36B5" w:rsidRDefault="003C36B5" w:rsidP="003C36B5">
            <w:pPr>
              <w:pStyle w:val="Compact"/>
              <w:spacing w:before="20" w:after="20"/>
              <w:rPr>
                <w:sz w:val="16"/>
              </w:rPr>
            </w:pPr>
            <w:r w:rsidRPr="003C36B5">
              <w:rPr>
                <w:sz w:val="16"/>
              </w:rPr>
              <w:t>Réservé aux grandes entreprises ; couche de coordination supplément</w:t>
            </w:r>
            <w:r w:rsidRPr="003C36B5">
              <w:rPr>
                <w:sz w:val="16"/>
              </w:rPr>
              <w:t>aire</w:t>
            </w:r>
          </w:p>
        </w:tc>
        <w:tc>
          <w:tcPr>
            <w:tcW w:w="2424" w:type="dxa"/>
            <w:shd w:val="clear" w:color="auto" w:fill="auto"/>
          </w:tcPr>
          <w:p w:rsidR="00ED107C" w:rsidRPr="003C36B5" w:rsidRDefault="003C36B5" w:rsidP="003C36B5">
            <w:pPr>
              <w:pStyle w:val="Compact"/>
              <w:spacing w:before="20" w:after="20"/>
              <w:rPr>
                <w:sz w:val="16"/>
              </w:rPr>
            </w:pPr>
            <w:r w:rsidRPr="003C36B5">
              <w:rPr>
                <w:b/>
                <w:bCs/>
                <w:sz w:val="16"/>
              </w:rPr>
              <w:t>Oui</w:t>
            </w:r>
            <w:r w:rsidRPr="003C36B5">
              <w:rPr>
                <w:sz w:val="16"/>
              </w:rPr>
              <w:t xml:space="preserve"> : Spotify est une grande entreprise ; la coordination est assurée par le Committee mensuel</w:t>
            </w:r>
          </w:p>
        </w:tc>
      </w:tr>
    </w:tbl>
    <w:p w:rsidR="00ED107C" w:rsidRDefault="003C36B5">
      <w:pPr>
        <w:pStyle w:val="Corpsdetexte"/>
      </w:pPr>
      <w:r>
        <w:t>Le CoE (4-6 personnes sous le CDO) porte les standards, le catalogue, la formation et l’audit ; les 5 Data Stewards sont les relais dans les business units</w:t>
      </w:r>
      <w:r>
        <w:t xml:space="preserve">. Conformément au cours, </w:t>
      </w:r>
      <w:r>
        <w:rPr>
          <w:b/>
          <w:bCs/>
        </w:rPr>
        <w:t>gouvernance et data management sont séparés</w:t>
      </w:r>
      <w:r>
        <w:t xml:space="preserve"> : le CoE définit et audite, l’engineering (CTO) implémente.</w:t>
      </w:r>
    </w:p>
    <w:p w:rsidR="00ED107C" w:rsidRDefault="003C36B5">
      <w:pPr>
        <w:pStyle w:val="Titre2"/>
      </w:pPr>
      <w:bookmarkStart w:id="35" w:name="stack-technologique"/>
      <w:bookmarkStart w:id="36" w:name="_Toc240702669"/>
      <w:bookmarkEnd w:id="33"/>
      <w:r>
        <w:t>2. Stack technologique</w:t>
      </w:r>
      <w:bookmarkEnd w:id="36"/>
    </w:p>
    <w:p w:rsidR="00ED107C" w:rsidRDefault="003C36B5">
      <w:pPr>
        <w:pStyle w:val="FirstParagraph"/>
      </w:pPr>
      <w:r>
        <w:t>Un outil par besoin, choisi dans le Tech Tools Overview selon trois critères : intégration avec l’existant GCP/Airflow, coût, couverture fonctionnelle. Spotify dispose déjà d’un catalogue interne (Lexikon) : la phase 1 audite l’existant avant tout achat.</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833"/>
        <w:gridCol w:w="2445"/>
        <w:gridCol w:w="4076"/>
        <w:gridCol w:w="1834"/>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142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B</w:t>
            </w:r>
            <w:r w:rsidRPr="003C36B5">
              <w:rPr>
                <w:b/>
                <w:sz w:val="16"/>
              </w:rPr>
              <w:t>esoin</w:t>
            </w:r>
          </w:p>
        </w:tc>
        <w:tc>
          <w:tcPr>
            <w:tcW w:w="190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Outil retenu</w:t>
            </w:r>
          </w:p>
        </w:tc>
        <w:tc>
          <w:tcPr>
            <w:tcW w:w="3168"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Pourquoi</w:t>
            </w:r>
          </w:p>
        </w:tc>
        <w:tc>
          <w:tcPr>
            <w:tcW w:w="142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Alternative évaluée</w:t>
            </w:r>
          </w:p>
        </w:tc>
      </w:tr>
      <w:tr w:rsidR="00ED107C" w:rsidRPr="003C36B5" w:rsidTr="003C36B5">
        <w:tc>
          <w:tcPr>
            <w:tcW w:w="1425" w:type="dxa"/>
            <w:shd w:val="clear" w:color="auto" w:fill="auto"/>
          </w:tcPr>
          <w:p w:rsidR="00ED107C" w:rsidRPr="003C36B5" w:rsidRDefault="003C36B5" w:rsidP="003C36B5">
            <w:pPr>
              <w:pStyle w:val="Compact"/>
              <w:spacing w:before="20" w:after="20"/>
              <w:rPr>
                <w:sz w:val="16"/>
              </w:rPr>
            </w:pPr>
            <w:r w:rsidRPr="003C36B5">
              <w:rPr>
                <w:sz w:val="16"/>
              </w:rPr>
              <w:t>Catalogue &amp; stewardship</w:t>
            </w:r>
          </w:p>
        </w:tc>
        <w:tc>
          <w:tcPr>
            <w:tcW w:w="1900" w:type="dxa"/>
            <w:shd w:val="clear" w:color="auto" w:fill="auto"/>
          </w:tcPr>
          <w:p w:rsidR="00ED107C" w:rsidRPr="003C36B5" w:rsidRDefault="003C36B5" w:rsidP="003C36B5">
            <w:pPr>
              <w:pStyle w:val="Compact"/>
              <w:spacing w:before="20" w:after="20"/>
              <w:rPr>
                <w:sz w:val="16"/>
              </w:rPr>
            </w:pPr>
            <w:r w:rsidRPr="003C36B5">
              <w:rPr>
                <w:b/>
                <w:bCs/>
                <w:sz w:val="16"/>
              </w:rPr>
              <w:t>Collibra</w:t>
            </w:r>
            <w:r w:rsidRPr="003C36B5">
              <w:rPr>
                <w:sz w:val="16"/>
              </w:rPr>
              <w:t xml:space="preserve"> (ou extension de Lexikon)</w:t>
            </w:r>
          </w:p>
        </w:tc>
        <w:tc>
          <w:tcPr>
            <w:tcW w:w="3168" w:type="dxa"/>
            <w:shd w:val="clear" w:color="auto" w:fill="auto"/>
          </w:tcPr>
          <w:p w:rsidR="00ED107C" w:rsidRPr="003C36B5" w:rsidRDefault="003C36B5" w:rsidP="003C36B5">
            <w:pPr>
              <w:pStyle w:val="Compact"/>
              <w:spacing w:before="20" w:after="20"/>
              <w:rPr>
                <w:sz w:val="16"/>
              </w:rPr>
            </w:pPr>
            <w:r w:rsidRPr="003C36B5">
              <w:rPr>
                <w:sz w:val="16"/>
              </w:rPr>
              <w:t>Workflows de stewardship, glossaire, classification, intégration BigQuery</w:t>
            </w:r>
          </w:p>
        </w:tc>
        <w:tc>
          <w:tcPr>
            <w:tcW w:w="1425" w:type="dxa"/>
            <w:shd w:val="clear" w:color="auto" w:fill="auto"/>
          </w:tcPr>
          <w:p w:rsidR="00ED107C" w:rsidRPr="003C36B5" w:rsidRDefault="003C36B5" w:rsidP="003C36B5">
            <w:pPr>
              <w:pStyle w:val="Compact"/>
              <w:spacing w:before="20" w:after="20"/>
              <w:rPr>
                <w:sz w:val="16"/>
              </w:rPr>
            </w:pPr>
            <w:r w:rsidRPr="003C36B5">
              <w:rPr>
                <w:sz w:val="16"/>
              </w:rPr>
              <w:t>Alation, Apache Atlas</w:t>
            </w:r>
          </w:p>
        </w:tc>
      </w:tr>
      <w:tr w:rsidR="00ED107C" w:rsidRPr="003C36B5" w:rsidTr="003C36B5">
        <w:tc>
          <w:tcPr>
            <w:tcW w:w="1425" w:type="dxa"/>
            <w:shd w:val="clear" w:color="auto" w:fill="auto"/>
          </w:tcPr>
          <w:p w:rsidR="00ED107C" w:rsidRPr="003C36B5" w:rsidRDefault="003C36B5" w:rsidP="003C36B5">
            <w:pPr>
              <w:pStyle w:val="Compact"/>
              <w:spacing w:before="20" w:after="20"/>
              <w:rPr>
                <w:sz w:val="16"/>
              </w:rPr>
            </w:pPr>
            <w:r w:rsidRPr="003C36B5">
              <w:rPr>
                <w:sz w:val="16"/>
              </w:rPr>
              <w:t>Qualité des données</w:t>
            </w:r>
          </w:p>
        </w:tc>
        <w:tc>
          <w:tcPr>
            <w:tcW w:w="1900" w:type="dxa"/>
            <w:shd w:val="clear" w:color="auto" w:fill="auto"/>
          </w:tcPr>
          <w:p w:rsidR="00ED107C" w:rsidRPr="003C36B5" w:rsidRDefault="003C36B5" w:rsidP="003C36B5">
            <w:pPr>
              <w:pStyle w:val="Compact"/>
              <w:spacing w:before="20" w:after="20"/>
              <w:rPr>
                <w:sz w:val="16"/>
              </w:rPr>
            </w:pPr>
            <w:r w:rsidRPr="003C36B5">
              <w:rPr>
                <w:b/>
                <w:bCs/>
                <w:sz w:val="16"/>
              </w:rPr>
              <w:t>Great Expectations</w:t>
            </w:r>
          </w:p>
        </w:tc>
        <w:tc>
          <w:tcPr>
            <w:tcW w:w="3168" w:type="dxa"/>
            <w:shd w:val="clear" w:color="auto" w:fill="auto"/>
          </w:tcPr>
          <w:p w:rsidR="00ED107C" w:rsidRPr="003C36B5" w:rsidRDefault="003C36B5" w:rsidP="003C36B5">
            <w:pPr>
              <w:pStyle w:val="Compact"/>
              <w:spacing w:before="20" w:after="20"/>
              <w:rPr>
                <w:sz w:val="16"/>
              </w:rPr>
            </w:pPr>
            <w:r w:rsidRPr="003C36B5">
              <w:rPr>
                <w:sz w:val="16"/>
              </w:rPr>
              <w:t>Open source,</w:t>
            </w:r>
            <w:r w:rsidRPr="003C36B5">
              <w:rPr>
                <w:sz w:val="16"/>
              </w:rPr>
              <w:t xml:space="preserve"> tests dans les pipelines Airflow existants, coût nul en licence</w:t>
            </w:r>
          </w:p>
        </w:tc>
        <w:tc>
          <w:tcPr>
            <w:tcW w:w="1425" w:type="dxa"/>
            <w:shd w:val="clear" w:color="auto" w:fill="auto"/>
          </w:tcPr>
          <w:p w:rsidR="00ED107C" w:rsidRPr="003C36B5" w:rsidRDefault="003C36B5" w:rsidP="003C36B5">
            <w:pPr>
              <w:pStyle w:val="Compact"/>
              <w:spacing w:before="20" w:after="20"/>
              <w:rPr>
                <w:sz w:val="16"/>
              </w:rPr>
            </w:pPr>
            <w:r w:rsidRPr="003C36B5">
              <w:rPr>
                <w:sz w:val="16"/>
              </w:rPr>
              <w:t>Talend</w:t>
            </w:r>
          </w:p>
        </w:tc>
      </w:tr>
      <w:tr w:rsidR="00ED107C" w:rsidRPr="003C36B5" w:rsidTr="003C36B5">
        <w:tc>
          <w:tcPr>
            <w:tcW w:w="1425" w:type="dxa"/>
            <w:shd w:val="clear" w:color="auto" w:fill="auto"/>
          </w:tcPr>
          <w:p w:rsidR="00ED107C" w:rsidRPr="003C36B5" w:rsidRDefault="003C36B5" w:rsidP="003C36B5">
            <w:pPr>
              <w:pStyle w:val="Compact"/>
              <w:spacing w:before="20" w:after="20"/>
              <w:rPr>
                <w:sz w:val="16"/>
              </w:rPr>
            </w:pPr>
            <w:r w:rsidRPr="003C36B5">
              <w:rPr>
                <w:sz w:val="16"/>
              </w:rPr>
              <w:t>Conformité &amp; consentement</w:t>
            </w:r>
          </w:p>
        </w:tc>
        <w:tc>
          <w:tcPr>
            <w:tcW w:w="1900" w:type="dxa"/>
            <w:shd w:val="clear" w:color="auto" w:fill="auto"/>
          </w:tcPr>
          <w:p w:rsidR="00ED107C" w:rsidRPr="003C36B5" w:rsidRDefault="003C36B5" w:rsidP="003C36B5">
            <w:pPr>
              <w:pStyle w:val="Compact"/>
              <w:spacing w:before="20" w:after="20"/>
              <w:rPr>
                <w:sz w:val="16"/>
              </w:rPr>
            </w:pPr>
            <w:r w:rsidRPr="003C36B5">
              <w:rPr>
                <w:b/>
                <w:bCs/>
                <w:sz w:val="16"/>
              </w:rPr>
              <w:t>OneTrust</w:t>
            </w:r>
          </w:p>
        </w:tc>
        <w:tc>
          <w:tcPr>
            <w:tcW w:w="3168" w:type="dxa"/>
            <w:shd w:val="clear" w:color="auto" w:fill="auto"/>
          </w:tcPr>
          <w:p w:rsidR="00ED107C" w:rsidRPr="003C36B5" w:rsidRDefault="003C36B5" w:rsidP="003C36B5">
            <w:pPr>
              <w:pStyle w:val="Compact"/>
              <w:spacing w:before="20" w:after="20"/>
              <w:rPr>
                <w:sz w:val="16"/>
              </w:rPr>
            </w:pPr>
            <w:r w:rsidRPr="003C36B5">
              <w:rPr>
                <w:sz w:val="16"/>
              </w:rPr>
              <w:t>Consentement multi-pays, registre, DPIA, gestion des demandes des personnes</w:t>
            </w:r>
          </w:p>
        </w:tc>
        <w:tc>
          <w:tcPr>
            <w:tcW w:w="1425" w:type="dxa"/>
            <w:shd w:val="clear" w:color="auto" w:fill="auto"/>
          </w:tcPr>
          <w:p w:rsidR="00ED107C" w:rsidRPr="003C36B5" w:rsidRDefault="003C36B5" w:rsidP="003C36B5">
            <w:pPr>
              <w:pStyle w:val="Compact"/>
              <w:spacing w:before="20" w:after="20"/>
              <w:rPr>
                <w:sz w:val="16"/>
              </w:rPr>
            </w:pPr>
            <w:r w:rsidRPr="003C36B5">
              <w:rPr>
                <w:sz w:val="16"/>
              </w:rPr>
              <w:t>TrustArc</w:t>
            </w:r>
          </w:p>
        </w:tc>
      </w:tr>
      <w:tr w:rsidR="00ED107C" w:rsidRPr="003C36B5" w:rsidTr="003C36B5">
        <w:tc>
          <w:tcPr>
            <w:tcW w:w="1425" w:type="dxa"/>
            <w:shd w:val="clear" w:color="auto" w:fill="auto"/>
          </w:tcPr>
          <w:p w:rsidR="00ED107C" w:rsidRPr="003C36B5" w:rsidRDefault="003C36B5" w:rsidP="003C36B5">
            <w:pPr>
              <w:pStyle w:val="Compact"/>
              <w:spacing w:before="20" w:after="20"/>
              <w:rPr>
                <w:sz w:val="16"/>
              </w:rPr>
            </w:pPr>
            <w:r w:rsidRPr="003C36B5">
              <w:rPr>
                <w:sz w:val="16"/>
              </w:rPr>
              <w:t>Sécurité (SIEM)</w:t>
            </w:r>
          </w:p>
        </w:tc>
        <w:tc>
          <w:tcPr>
            <w:tcW w:w="1900" w:type="dxa"/>
            <w:shd w:val="clear" w:color="auto" w:fill="auto"/>
          </w:tcPr>
          <w:p w:rsidR="00ED107C" w:rsidRPr="003C36B5" w:rsidRDefault="003C36B5" w:rsidP="003C36B5">
            <w:pPr>
              <w:pStyle w:val="Compact"/>
              <w:spacing w:before="20" w:after="20"/>
              <w:rPr>
                <w:sz w:val="16"/>
              </w:rPr>
            </w:pPr>
            <w:r w:rsidRPr="003C36B5">
              <w:rPr>
                <w:b/>
                <w:bCs/>
                <w:sz w:val="16"/>
              </w:rPr>
              <w:t>Splunk</w:t>
            </w:r>
          </w:p>
        </w:tc>
        <w:tc>
          <w:tcPr>
            <w:tcW w:w="3168" w:type="dxa"/>
            <w:shd w:val="clear" w:color="auto" w:fill="auto"/>
          </w:tcPr>
          <w:p w:rsidR="00ED107C" w:rsidRPr="003C36B5" w:rsidRDefault="003C36B5" w:rsidP="003C36B5">
            <w:pPr>
              <w:pStyle w:val="Compact"/>
              <w:spacing w:before="20" w:after="20"/>
              <w:rPr>
                <w:sz w:val="16"/>
              </w:rPr>
            </w:pPr>
            <w:r w:rsidRPr="003C36B5">
              <w:rPr>
                <w:sz w:val="16"/>
              </w:rPr>
              <w:t>Journalisation centralisée, détection d’incidents</w:t>
            </w:r>
          </w:p>
        </w:tc>
        <w:tc>
          <w:tcPr>
            <w:tcW w:w="1425" w:type="dxa"/>
            <w:shd w:val="clear" w:color="auto" w:fill="auto"/>
          </w:tcPr>
          <w:p w:rsidR="00ED107C" w:rsidRPr="003C36B5" w:rsidRDefault="003C36B5" w:rsidP="003C36B5">
            <w:pPr>
              <w:pStyle w:val="Compact"/>
              <w:spacing w:before="20" w:after="20"/>
              <w:rPr>
                <w:sz w:val="16"/>
              </w:rPr>
            </w:pPr>
            <w:r w:rsidRPr="003C36B5">
              <w:rPr>
                <w:sz w:val="16"/>
              </w:rPr>
              <w:t>DataGuard</w:t>
            </w:r>
          </w:p>
        </w:tc>
      </w:tr>
      <w:tr w:rsidR="00ED107C" w:rsidRPr="003C36B5" w:rsidTr="003C36B5">
        <w:tc>
          <w:tcPr>
            <w:tcW w:w="1425" w:type="dxa"/>
            <w:shd w:val="clear" w:color="auto" w:fill="auto"/>
          </w:tcPr>
          <w:p w:rsidR="00ED107C" w:rsidRPr="003C36B5" w:rsidRDefault="003C36B5" w:rsidP="003C36B5">
            <w:pPr>
              <w:pStyle w:val="Compact"/>
              <w:spacing w:before="20" w:after="20"/>
              <w:rPr>
                <w:sz w:val="16"/>
              </w:rPr>
            </w:pPr>
            <w:r w:rsidRPr="003C36B5">
              <w:rPr>
                <w:sz w:val="16"/>
              </w:rPr>
              <w:t>Chiffrement &amp; clés</w:t>
            </w:r>
          </w:p>
        </w:tc>
        <w:tc>
          <w:tcPr>
            <w:tcW w:w="1900" w:type="dxa"/>
            <w:shd w:val="clear" w:color="auto" w:fill="auto"/>
          </w:tcPr>
          <w:p w:rsidR="00ED107C" w:rsidRPr="003C36B5" w:rsidRDefault="003C36B5" w:rsidP="003C36B5">
            <w:pPr>
              <w:pStyle w:val="Compact"/>
              <w:spacing w:before="20" w:after="20"/>
              <w:rPr>
                <w:sz w:val="16"/>
              </w:rPr>
            </w:pPr>
            <w:r w:rsidRPr="003C36B5">
              <w:rPr>
                <w:b/>
                <w:bCs/>
                <w:sz w:val="16"/>
              </w:rPr>
              <w:t>Vormetric (Thales CipherTrust)</w:t>
            </w:r>
          </w:p>
        </w:tc>
        <w:tc>
          <w:tcPr>
            <w:tcW w:w="3168" w:type="dxa"/>
            <w:shd w:val="clear" w:color="auto" w:fill="auto"/>
          </w:tcPr>
          <w:p w:rsidR="00ED107C" w:rsidRPr="003C36B5" w:rsidRDefault="003C36B5" w:rsidP="003C36B5">
            <w:pPr>
              <w:pStyle w:val="Compact"/>
              <w:spacing w:before="20" w:after="20"/>
              <w:rPr>
                <w:sz w:val="16"/>
              </w:rPr>
            </w:pPr>
            <w:r w:rsidRPr="003C36B5">
              <w:rPr>
                <w:sz w:val="16"/>
              </w:rPr>
              <w:t>Chiffrement des données sensibles au repos, gestion des clés</w:t>
            </w:r>
          </w:p>
        </w:tc>
        <w:tc>
          <w:tcPr>
            <w:tcW w:w="1425" w:type="dxa"/>
            <w:shd w:val="clear" w:color="auto" w:fill="auto"/>
          </w:tcPr>
          <w:p w:rsidR="00ED107C" w:rsidRPr="003C36B5" w:rsidRDefault="003C36B5" w:rsidP="003C36B5">
            <w:pPr>
              <w:pStyle w:val="Compact"/>
              <w:spacing w:before="20" w:after="20"/>
              <w:rPr>
                <w:sz w:val="16"/>
              </w:rPr>
            </w:pPr>
            <w:r w:rsidRPr="003C36B5">
              <w:rPr>
                <w:sz w:val="16"/>
              </w:rPr>
              <w:t>—</w:t>
            </w:r>
          </w:p>
        </w:tc>
      </w:tr>
      <w:tr w:rsidR="00ED107C" w:rsidRPr="003C36B5" w:rsidTr="003C36B5">
        <w:tc>
          <w:tcPr>
            <w:tcW w:w="1425" w:type="dxa"/>
            <w:shd w:val="clear" w:color="auto" w:fill="auto"/>
          </w:tcPr>
          <w:p w:rsidR="00ED107C" w:rsidRPr="003C36B5" w:rsidRDefault="003C36B5" w:rsidP="003C36B5">
            <w:pPr>
              <w:pStyle w:val="Compact"/>
              <w:spacing w:before="20" w:after="20"/>
              <w:rPr>
                <w:sz w:val="16"/>
              </w:rPr>
            </w:pPr>
            <w:r w:rsidRPr="003C36B5">
              <w:rPr>
                <w:sz w:val="16"/>
              </w:rPr>
              <w:t>Lineage</w:t>
            </w:r>
          </w:p>
        </w:tc>
        <w:tc>
          <w:tcPr>
            <w:tcW w:w="1900" w:type="dxa"/>
            <w:shd w:val="clear" w:color="auto" w:fill="auto"/>
          </w:tcPr>
          <w:p w:rsidR="00ED107C" w:rsidRPr="003C36B5" w:rsidRDefault="003C36B5" w:rsidP="003C36B5">
            <w:pPr>
              <w:pStyle w:val="Compact"/>
              <w:spacing w:before="20" w:after="20"/>
              <w:rPr>
                <w:sz w:val="16"/>
              </w:rPr>
            </w:pPr>
            <w:r w:rsidRPr="003C36B5">
              <w:rPr>
                <w:b/>
                <w:bCs/>
                <w:sz w:val="16"/>
              </w:rPr>
              <w:t>OpenLineage + Marquez</w:t>
            </w:r>
          </w:p>
        </w:tc>
        <w:tc>
          <w:tcPr>
            <w:tcW w:w="3168" w:type="dxa"/>
            <w:shd w:val="clear" w:color="auto" w:fill="auto"/>
          </w:tcPr>
          <w:p w:rsidR="00ED107C" w:rsidRPr="003C36B5" w:rsidRDefault="003C36B5" w:rsidP="003C36B5">
            <w:pPr>
              <w:pStyle w:val="Compact"/>
              <w:spacing w:before="20" w:after="20"/>
              <w:rPr>
                <w:sz w:val="16"/>
              </w:rPr>
            </w:pPr>
            <w:r w:rsidRPr="003C36B5">
              <w:rPr>
                <w:sz w:val="16"/>
              </w:rPr>
              <w:t xml:space="preserve">Standard ouvert compatible Airflow, traçabilité de </w:t>
            </w:r>
            <w:r w:rsidRPr="003C36B5">
              <w:rPr>
                <w:sz w:val="16"/>
              </w:rPr>
              <w:t>bout en bout</w:t>
            </w:r>
          </w:p>
        </w:tc>
        <w:tc>
          <w:tcPr>
            <w:tcW w:w="1425" w:type="dxa"/>
            <w:shd w:val="clear" w:color="auto" w:fill="auto"/>
          </w:tcPr>
          <w:p w:rsidR="00ED107C" w:rsidRPr="003C36B5" w:rsidRDefault="003C36B5" w:rsidP="003C36B5">
            <w:pPr>
              <w:pStyle w:val="Compact"/>
              <w:spacing w:before="20" w:after="20"/>
              <w:rPr>
                <w:sz w:val="16"/>
              </w:rPr>
            </w:pPr>
            <w:r w:rsidRPr="003C36B5">
              <w:rPr>
                <w:sz w:val="16"/>
              </w:rPr>
              <w:t>—</w:t>
            </w:r>
          </w:p>
        </w:tc>
      </w:tr>
      <w:tr w:rsidR="00ED107C" w:rsidRPr="003C36B5" w:rsidTr="003C36B5">
        <w:tc>
          <w:tcPr>
            <w:tcW w:w="1425" w:type="dxa"/>
            <w:shd w:val="clear" w:color="auto" w:fill="auto"/>
          </w:tcPr>
          <w:p w:rsidR="00ED107C" w:rsidRPr="003C36B5" w:rsidRDefault="003C36B5" w:rsidP="003C36B5">
            <w:pPr>
              <w:pStyle w:val="Compact"/>
              <w:spacing w:before="20" w:after="20"/>
              <w:rPr>
                <w:sz w:val="16"/>
              </w:rPr>
            </w:pPr>
            <w:r w:rsidRPr="003C36B5">
              <w:rPr>
                <w:sz w:val="16"/>
              </w:rPr>
              <w:t>Observabilité (phase 4)</w:t>
            </w:r>
          </w:p>
        </w:tc>
        <w:tc>
          <w:tcPr>
            <w:tcW w:w="1900" w:type="dxa"/>
            <w:shd w:val="clear" w:color="auto" w:fill="auto"/>
          </w:tcPr>
          <w:p w:rsidR="00ED107C" w:rsidRPr="003C36B5" w:rsidRDefault="003C36B5" w:rsidP="003C36B5">
            <w:pPr>
              <w:pStyle w:val="Compact"/>
              <w:spacing w:before="20" w:after="20"/>
              <w:rPr>
                <w:sz w:val="16"/>
              </w:rPr>
            </w:pPr>
            <w:r w:rsidRPr="003C36B5">
              <w:rPr>
                <w:b/>
                <w:bCs/>
                <w:sz w:val="16"/>
              </w:rPr>
              <w:t>Monte Carlo</w:t>
            </w:r>
          </w:p>
        </w:tc>
        <w:tc>
          <w:tcPr>
            <w:tcW w:w="3168" w:type="dxa"/>
            <w:shd w:val="clear" w:color="auto" w:fill="auto"/>
          </w:tcPr>
          <w:p w:rsidR="00ED107C" w:rsidRPr="003C36B5" w:rsidRDefault="003C36B5" w:rsidP="003C36B5">
            <w:pPr>
              <w:pStyle w:val="Compact"/>
              <w:spacing w:before="20" w:after="20"/>
              <w:rPr>
                <w:sz w:val="16"/>
              </w:rPr>
            </w:pPr>
            <w:r w:rsidRPr="003C36B5">
              <w:rPr>
                <w:sz w:val="16"/>
              </w:rPr>
              <w:t>Détection d’anomalies et de fraîcheur</w:t>
            </w:r>
          </w:p>
        </w:tc>
        <w:tc>
          <w:tcPr>
            <w:tcW w:w="1425" w:type="dxa"/>
            <w:shd w:val="clear" w:color="auto" w:fill="auto"/>
          </w:tcPr>
          <w:p w:rsidR="00ED107C" w:rsidRPr="003C36B5" w:rsidRDefault="003C36B5" w:rsidP="003C36B5">
            <w:pPr>
              <w:pStyle w:val="Compact"/>
              <w:spacing w:before="20" w:after="20"/>
              <w:rPr>
                <w:sz w:val="16"/>
              </w:rPr>
            </w:pPr>
            <w:r w:rsidRPr="003C36B5">
              <w:rPr>
                <w:sz w:val="16"/>
              </w:rPr>
              <w:t>Ataccama ONE</w:t>
            </w:r>
          </w:p>
        </w:tc>
      </w:tr>
    </w:tbl>
    <w:p w:rsidR="00ED107C" w:rsidRDefault="003C36B5">
      <w:pPr>
        <w:pStyle w:val="Titre2"/>
      </w:pPr>
      <w:bookmarkStart w:id="37" w:name="plan-en-4-phases-18-mois"/>
      <w:bookmarkStart w:id="38" w:name="_Toc240702670"/>
      <w:bookmarkEnd w:id="35"/>
      <w:r>
        <w:t>3. Plan en 4 phases (18 mois)</w:t>
      </w:r>
      <w:bookmarkEnd w:id="38"/>
    </w:p>
    <w:p w:rsidR="00ED107C" w:rsidRDefault="003C36B5">
      <w:pPr>
        <w:pStyle w:val="FirstParagraph"/>
      </w:pPr>
      <w:r>
        <w:t>Calendrier conforme à l’Executive Q&amp;A Guide : pilote de 3 à 6 mois, puis 12 mois de déploiement.</w:t>
      </w:r>
    </w:p>
    <w:p w:rsidR="00ED107C" w:rsidRDefault="003C36B5" w:rsidP="003C36B5">
      <w:pPr>
        <w:pStyle w:val="Corpsdetexte"/>
        <w:spacing w:after="40"/>
        <w:jc w:val="center"/>
      </w:pPr>
      <w:r>
        <w:rPr>
          <w:noProof/>
          <w:lang w:val="fr-FR" w:eastAsia="fr-FR"/>
        </w:rPr>
        <w:drawing>
          <wp:inline distT="0" distB="0" distL="0" distR="0">
            <wp:extent cx="5334000" cy="179416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ssets/gantt-plan.png"/>
                    <pic:cNvPicPr>
                      <a:picLocks noChangeAspect="1" noChangeArrowheads="1"/>
                    </pic:cNvPicPr>
                  </pic:nvPicPr>
                  <pic:blipFill>
                    <a:blip r:embed="rId9"/>
                    <a:stretch>
                      <a:fillRect/>
                    </a:stretch>
                  </pic:blipFill>
                  <pic:spPr bwMode="auto">
                    <a:xfrm>
                      <a:off x="0" y="0"/>
                      <a:ext cx="5334000" cy="1794163"/>
                    </a:xfrm>
                    <a:prstGeom prst="rect">
                      <a:avLst/>
                    </a:prstGeom>
                    <a:noFill/>
                    <a:ln w="9525">
                      <a:noFill/>
                      <a:headEnd/>
                      <a:tailEnd/>
                    </a:ln>
                  </pic:spPr>
                </pic:pic>
              </a:graphicData>
            </a:graphic>
          </wp:inline>
        </w:drawing>
      </w:r>
    </w:p>
    <w:p w:rsidR="00ED107C" w:rsidRDefault="003C36B5">
      <w:pPr>
        <w:pStyle w:val="Corpsdetexte"/>
      </w:pPr>
      <w:r>
        <w:rPr>
          <w:b/>
          <w:bCs/>
        </w:rPr>
        <w:t>Phase 1 — Fondations (M1-M2).</w:t>
      </w:r>
      <w:r>
        <w:t xml:space="preserve"> Prérequis bloquant : nomination du CDO. Puis : constitution du CoE et désignation des 5 Data Stewards (fiches signées) ; confirmation du DPO et création de la Privacy Team ; approbation de la politique v1.0 par le Committee ; </w:t>
      </w:r>
      <w:r>
        <w:t xml:space="preserve">audit de l’existant (Lexikon, pipelines, consentement) ; déploiement OneTrust et instance pilote du catalogue ; cartographie des flux User Data ; communication de lancement (message CEO, webinar CDO, FAQ par rôle) et e-learning obligatoire. </w:t>
      </w:r>
      <w:r>
        <w:rPr>
          <w:i/>
          <w:iCs/>
        </w:rPr>
        <w:t>Critère de sort</w:t>
      </w:r>
      <w:r>
        <w:rPr>
          <w:i/>
          <w:iCs/>
        </w:rPr>
        <w:t>ie</w:t>
      </w:r>
      <w:r>
        <w:t xml:space="preserve"> : équipe en place, politique approuvée, baseline de mesure prête.</w:t>
      </w:r>
    </w:p>
    <w:p w:rsidR="00ED107C" w:rsidRDefault="003C36B5">
      <w:pPr>
        <w:pStyle w:val="Corpsdetexte"/>
      </w:pPr>
      <w:r>
        <w:rPr>
          <w:b/>
          <w:bCs/>
        </w:rPr>
        <w:lastRenderedPageBreak/>
        <w:t>Phase 2 — Pilote User Data (M3-M6).</w:t>
      </w:r>
      <w:r>
        <w:t xml:space="preserve"> Voir section 4. </w:t>
      </w:r>
      <w:r>
        <w:rPr>
          <w:i/>
          <w:iCs/>
        </w:rPr>
        <w:t>Critère de sortie</w:t>
      </w:r>
      <w:r>
        <w:t xml:space="preserve"> : Go/No-Go du Committee sur les KPIs.</w:t>
      </w:r>
    </w:p>
    <w:p w:rsidR="00ED107C" w:rsidRDefault="003C36B5">
      <w:pPr>
        <w:pStyle w:val="Corpsdetexte"/>
      </w:pPr>
      <w:r>
        <w:rPr>
          <w:b/>
          <w:bCs/>
        </w:rPr>
        <w:t>Phase 3 — Généralisation (M7-M12).</w:t>
      </w:r>
      <w:r>
        <w:t xml:space="preserve"> Déploiement domaine par domaine, dans l’ordr</w:t>
      </w:r>
      <w:r>
        <w:t xml:space="preserve">e de priorité du business case : </w:t>
      </w:r>
      <w:r>
        <w:rPr>
          <w:b/>
          <w:bCs/>
        </w:rPr>
        <w:t>Content</w:t>
      </w:r>
      <w:r>
        <w:t xml:space="preserve"> (métadonnées, royalties), </w:t>
      </w:r>
      <w:r>
        <w:rPr>
          <w:b/>
          <w:bCs/>
        </w:rPr>
        <w:t>Marketing</w:t>
      </w:r>
      <w:r>
        <w:t xml:space="preserve"> (consentement, métriques de conversion), </w:t>
      </w:r>
      <w:r>
        <w:rPr>
          <w:b/>
          <w:bCs/>
        </w:rPr>
        <w:t>Payments</w:t>
      </w:r>
      <w:r>
        <w:t xml:space="preserve"> (PCI-DSS, chiffrement), </w:t>
      </w:r>
      <w:r>
        <w:rPr>
          <w:b/>
          <w:bCs/>
        </w:rPr>
        <w:t>Ads</w:t>
      </w:r>
      <w:r>
        <w:t xml:space="preserve"> (opt-out CCPA/CPRA). Pour chaque domaine : cartographie → classification et durées de conservation → </w:t>
      </w:r>
      <w:r>
        <w:t xml:space="preserve">règles qualité dans les pipelines → DPIA si nécessaire → baseline puis cibles. Extension du pilote User Data des marchés UE au monde. </w:t>
      </w:r>
      <w:r>
        <w:rPr>
          <w:i/>
          <w:iCs/>
        </w:rPr>
        <w:t>Critère de sortie</w:t>
      </w:r>
      <w:r>
        <w:t xml:space="preserve"> : 5 domaines catalogués et mesurés.</w:t>
      </w:r>
    </w:p>
    <w:p w:rsidR="00ED107C" w:rsidRDefault="003C36B5">
      <w:pPr>
        <w:pStyle w:val="Corpsdetexte"/>
      </w:pPr>
      <w:r>
        <w:rPr>
          <w:b/>
          <w:bCs/>
        </w:rPr>
        <w:t>Phase 4 — Industrialisation (M13-M18).</w:t>
      </w:r>
      <w:r>
        <w:t xml:space="preserve"> Observabilité (Monte Carlo), </w:t>
      </w:r>
      <w:r>
        <w:t xml:space="preserve">lineage de bout en bout, audit de conformité complet (GDPR/CCPA/PCI-DSS) et audit complet des biais de recommandation, formation avancée par rôle, tableau de bord exécutif, revue annuelle de la politique (v2.0). </w:t>
      </w:r>
      <w:r>
        <w:rPr>
          <w:i/>
          <w:iCs/>
        </w:rPr>
        <w:t>Critère de sortie</w:t>
      </w:r>
      <w:r>
        <w:t xml:space="preserve"> : mode opérationnel contin</w:t>
      </w:r>
      <w:r>
        <w:t>u, score de maturité ≥ 4,2.</w:t>
      </w:r>
    </w:p>
    <w:p w:rsidR="00ED107C" w:rsidRDefault="003C36B5">
      <w:pPr>
        <w:pStyle w:val="Titre2"/>
      </w:pPr>
      <w:bookmarkStart w:id="39" w:name="Xe584bf7459d61dac08f8d093b31918b06f21989"/>
      <w:bookmarkStart w:id="40" w:name="_Toc240702671"/>
      <w:bookmarkEnd w:id="37"/>
      <w:r>
        <w:t>4. Pilote User Data (Pilot Implementation Template)</w:t>
      </w:r>
      <w:bookmarkEnd w:id="40"/>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98"/>
        <w:gridCol w:w="8490"/>
      </w:tblGrid>
      <w:tr w:rsidR="00ED107C" w:rsidRPr="003C36B5" w:rsidTr="003C36B5">
        <w:tc>
          <w:tcPr>
            <w:tcW w:w="1320" w:type="dxa"/>
            <w:shd w:val="clear" w:color="auto" w:fill="EFEFEF"/>
          </w:tcPr>
          <w:p w:rsidR="00ED107C" w:rsidRPr="003C36B5" w:rsidRDefault="003C36B5" w:rsidP="003C36B5">
            <w:pPr>
              <w:pStyle w:val="Compact"/>
              <w:spacing w:before="20" w:after="20"/>
              <w:rPr>
                <w:b/>
                <w:sz w:val="16"/>
              </w:rPr>
            </w:pPr>
            <w:r w:rsidRPr="003C36B5">
              <w:rPr>
                <w:b/>
                <w:bCs/>
                <w:sz w:val="16"/>
              </w:rPr>
              <w:t>Projet</w:t>
            </w:r>
          </w:p>
        </w:tc>
        <w:tc>
          <w:tcPr>
            <w:tcW w:w="6600" w:type="dxa"/>
            <w:shd w:val="clear" w:color="auto" w:fill="EFEFEF"/>
          </w:tcPr>
          <w:p w:rsidR="00ED107C" w:rsidRPr="003C36B5" w:rsidRDefault="003C36B5" w:rsidP="003C36B5">
            <w:pPr>
              <w:pStyle w:val="Compact"/>
              <w:spacing w:before="20" w:after="20"/>
              <w:rPr>
                <w:b/>
                <w:sz w:val="16"/>
              </w:rPr>
            </w:pPr>
            <w:r w:rsidRPr="003C36B5">
              <w:rPr>
                <w:b/>
                <w:sz w:val="16"/>
              </w:rPr>
              <w:t>Pilote du framework de Data Governance — domaine User Data</w:t>
            </w:r>
          </w:p>
        </w:tc>
      </w:tr>
      <w:tr w:rsidR="00ED107C" w:rsidRPr="003C36B5" w:rsidTr="003C36B5">
        <w:tc>
          <w:tcPr>
            <w:tcW w:w="1320" w:type="dxa"/>
            <w:shd w:val="clear" w:color="auto" w:fill="auto"/>
          </w:tcPr>
          <w:p w:rsidR="00ED107C" w:rsidRPr="003C36B5" w:rsidRDefault="003C36B5" w:rsidP="003C36B5">
            <w:pPr>
              <w:pStyle w:val="Compact"/>
              <w:spacing w:before="20" w:after="20"/>
              <w:rPr>
                <w:sz w:val="16"/>
              </w:rPr>
            </w:pPr>
            <w:r w:rsidRPr="003C36B5">
              <w:rPr>
                <w:b/>
                <w:bCs/>
                <w:sz w:val="16"/>
              </w:rPr>
              <w:t>Période</w:t>
            </w:r>
          </w:p>
        </w:tc>
        <w:tc>
          <w:tcPr>
            <w:tcW w:w="6600" w:type="dxa"/>
            <w:shd w:val="clear" w:color="auto" w:fill="auto"/>
          </w:tcPr>
          <w:p w:rsidR="00ED107C" w:rsidRPr="003C36B5" w:rsidRDefault="003C36B5" w:rsidP="003C36B5">
            <w:pPr>
              <w:pStyle w:val="Compact"/>
              <w:spacing w:before="20" w:after="20"/>
              <w:rPr>
                <w:sz w:val="16"/>
              </w:rPr>
            </w:pPr>
            <w:r w:rsidRPr="003C36B5">
              <w:rPr>
                <w:sz w:val="16"/>
              </w:rPr>
              <w:t>M3 → M6 (4 mois)</w:t>
            </w:r>
          </w:p>
        </w:tc>
      </w:tr>
      <w:tr w:rsidR="00ED107C" w:rsidRPr="003C36B5" w:rsidTr="003C36B5">
        <w:tc>
          <w:tcPr>
            <w:tcW w:w="1320" w:type="dxa"/>
            <w:shd w:val="clear" w:color="auto" w:fill="auto"/>
          </w:tcPr>
          <w:p w:rsidR="00ED107C" w:rsidRPr="003C36B5" w:rsidRDefault="003C36B5" w:rsidP="003C36B5">
            <w:pPr>
              <w:pStyle w:val="Compact"/>
              <w:spacing w:before="20" w:after="20"/>
              <w:rPr>
                <w:sz w:val="16"/>
              </w:rPr>
            </w:pPr>
            <w:r w:rsidRPr="003C36B5">
              <w:rPr>
                <w:b/>
                <w:bCs/>
                <w:sz w:val="16"/>
              </w:rPr>
              <w:t>Préparé par</w:t>
            </w:r>
          </w:p>
        </w:tc>
        <w:tc>
          <w:tcPr>
            <w:tcW w:w="6600" w:type="dxa"/>
            <w:shd w:val="clear" w:color="auto" w:fill="auto"/>
          </w:tcPr>
          <w:p w:rsidR="00ED107C" w:rsidRPr="003C36B5" w:rsidRDefault="003C36B5" w:rsidP="003C36B5">
            <w:pPr>
              <w:pStyle w:val="Compact"/>
              <w:spacing w:before="20" w:after="20"/>
              <w:rPr>
                <w:sz w:val="16"/>
              </w:rPr>
            </w:pPr>
            <w:r w:rsidRPr="003C36B5">
              <w:rPr>
                <w:sz w:val="16"/>
              </w:rPr>
              <w:t>Emeline ROBLOT, Data Governance Specialist</w:t>
            </w:r>
          </w:p>
        </w:tc>
      </w:tr>
      <w:tr w:rsidR="00ED107C" w:rsidRPr="003C36B5" w:rsidTr="003C36B5">
        <w:tc>
          <w:tcPr>
            <w:tcW w:w="1320" w:type="dxa"/>
            <w:shd w:val="clear" w:color="auto" w:fill="auto"/>
          </w:tcPr>
          <w:p w:rsidR="00ED107C" w:rsidRPr="003C36B5" w:rsidRDefault="003C36B5" w:rsidP="003C36B5">
            <w:pPr>
              <w:pStyle w:val="Compact"/>
              <w:spacing w:before="20" w:after="20"/>
              <w:rPr>
                <w:sz w:val="16"/>
              </w:rPr>
            </w:pPr>
            <w:r w:rsidRPr="003C36B5">
              <w:rPr>
                <w:b/>
                <w:bCs/>
                <w:sz w:val="16"/>
              </w:rPr>
              <w:t>Project Manager</w:t>
            </w:r>
          </w:p>
        </w:tc>
        <w:tc>
          <w:tcPr>
            <w:tcW w:w="6600" w:type="dxa"/>
            <w:shd w:val="clear" w:color="auto" w:fill="auto"/>
          </w:tcPr>
          <w:p w:rsidR="00ED107C" w:rsidRPr="003C36B5" w:rsidRDefault="003C36B5" w:rsidP="003C36B5">
            <w:pPr>
              <w:pStyle w:val="Compact"/>
              <w:spacing w:before="20" w:after="20"/>
              <w:rPr>
                <w:sz w:val="16"/>
              </w:rPr>
            </w:pPr>
            <w:r w:rsidRPr="003C36B5">
              <w:rPr>
                <w:sz w:val="16"/>
              </w:rPr>
              <w:t>Lead du Dat</w:t>
            </w:r>
            <w:r w:rsidRPr="003C36B5">
              <w:rPr>
                <w:sz w:val="16"/>
              </w:rPr>
              <w:t>a Governance CoE</w:t>
            </w:r>
          </w:p>
        </w:tc>
      </w:tr>
      <w:tr w:rsidR="00ED107C" w:rsidRPr="003C36B5" w:rsidTr="003C36B5">
        <w:tc>
          <w:tcPr>
            <w:tcW w:w="1320" w:type="dxa"/>
            <w:shd w:val="clear" w:color="auto" w:fill="auto"/>
          </w:tcPr>
          <w:p w:rsidR="00ED107C" w:rsidRPr="003C36B5" w:rsidRDefault="003C36B5" w:rsidP="003C36B5">
            <w:pPr>
              <w:pStyle w:val="Compact"/>
              <w:spacing w:before="20" w:after="20"/>
              <w:rPr>
                <w:sz w:val="16"/>
              </w:rPr>
            </w:pPr>
            <w:r w:rsidRPr="003C36B5">
              <w:rPr>
                <w:b/>
                <w:bCs/>
                <w:sz w:val="16"/>
              </w:rPr>
              <w:t>Sponsor</w:t>
            </w:r>
          </w:p>
        </w:tc>
        <w:tc>
          <w:tcPr>
            <w:tcW w:w="6600" w:type="dxa"/>
            <w:shd w:val="clear" w:color="auto" w:fill="auto"/>
          </w:tcPr>
          <w:p w:rsidR="00ED107C" w:rsidRPr="003C36B5" w:rsidRDefault="003C36B5" w:rsidP="003C36B5">
            <w:pPr>
              <w:pStyle w:val="Compact"/>
              <w:spacing w:before="20" w:after="20"/>
              <w:rPr>
                <w:sz w:val="16"/>
              </w:rPr>
            </w:pPr>
            <w:r w:rsidRPr="003C36B5">
              <w:rPr>
                <w:sz w:val="16"/>
              </w:rPr>
              <w:t>CDO</w:t>
            </w:r>
          </w:p>
        </w:tc>
      </w:tr>
    </w:tbl>
    <w:p w:rsidR="00ED107C" w:rsidRDefault="003C36B5">
      <w:pPr>
        <w:pStyle w:val="Corpsdetexte"/>
      </w:pPr>
      <w:r>
        <w:rPr>
          <w:b/>
          <w:bCs/>
        </w:rPr>
        <w:t>Objectif et périmètre.</w:t>
      </w:r>
      <w:r>
        <w:t xml:space="preserve"> Tester le framework complet (politique, rôles, outils, KPIs) sur le domaine le plus sensible et le plus créateur de valeur : les données utilisateurs. Périmètre borné pour être réaliste en 4 mois : </w:t>
      </w:r>
      <w:r>
        <w:rPr>
          <w:b/>
          <w:bCs/>
        </w:rPr>
        <w:t>prof</w:t>
      </w:r>
      <w:r>
        <w:rPr>
          <w:b/>
          <w:bCs/>
        </w:rPr>
        <w:t>ils et historiques d’écoute des marchés UE</w:t>
      </w:r>
      <w:r>
        <w:t xml:space="preserve"> (juridiction la plus exigeante, sanction IMY 2023), extension mondiale en phase 3. Pourquoi User Data : exposition GDPR maximale, données pouvant révéler des informations sensibles inférées, impact direct sur Disc</w:t>
      </w:r>
      <w:r>
        <w:t>over Weekly et la rétention premium.</w:t>
      </w:r>
    </w:p>
    <w:p w:rsidR="00ED107C" w:rsidRDefault="003C36B5">
      <w:pPr>
        <w:pStyle w:val="Corpsdetexte"/>
      </w:pPr>
      <w:r>
        <w:rPr>
          <w:b/>
          <w:bCs/>
        </w:rPr>
        <w:t>Key goals (template).</w:t>
      </w:r>
      <w:r>
        <w:t xml:space="preserve"> (1) Qualité : complétude et cohérence des données utilisateurs ; (2) Conformité GDPR/CCPA : droits des personnes et consentement ; (3) Accès et intégration : réduire les silos entre Product, Market</w:t>
      </w:r>
      <w:r>
        <w:t>ing et Engineering ; (4) Risque : classification, chiffrement, protocole d’incident testé.</w:t>
      </w:r>
    </w:p>
    <w:p w:rsidR="00ED107C" w:rsidRDefault="003C36B5">
      <w:pPr>
        <w:pStyle w:val="Corpsdetexte"/>
      </w:pPr>
      <w:r>
        <w:rPr>
          <w:b/>
          <w:bCs/>
        </w:rPr>
        <w:t>Équipe.</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608"/>
        <w:gridCol w:w="6580"/>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280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Rôle</w:t>
            </w:r>
          </w:p>
        </w:tc>
        <w:tc>
          <w:tcPr>
            <w:tcW w:w="511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Responsabilités</w:t>
            </w:r>
          </w:p>
        </w:tc>
      </w:tr>
      <w:tr w:rsidR="00ED107C" w:rsidRPr="003C36B5" w:rsidTr="003C36B5">
        <w:tc>
          <w:tcPr>
            <w:tcW w:w="2805" w:type="dxa"/>
            <w:shd w:val="clear" w:color="auto" w:fill="auto"/>
          </w:tcPr>
          <w:p w:rsidR="00ED107C" w:rsidRPr="003C36B5" w:rsidRDefault="003C36B5" w:rsidP="003C36B5">
            <w:pPr>
              <w:pStyle w:val="Compact"/>
              <w:spacing w:before="20" w:after="20"/>
              <w:rPr>
                <w:sz w:val="16"/>
              </w:rPr>
            </w:pPr>
            <w:r w:rsidRPr="003C36B5">
              <w:rPr>
                <w:sz w:val="16"/>
              </w:rPr>
              <w:t>Pilot Project Manager (Lead CoE)</w:t>
            </w:r>
          </w:p>
        </w:tc>
        <w:tc>
          <w:tcPr>
            <w:tcW w:w="5115" w:type="dxa"/>
            <w:shd w:val="clear" w:color="auto" w:fill="auto"/>
          </w:tcPr>
          <w:p w:rsidR="00ED107C" w:rsidRPr="003C36B5" w:rsidRDefault="003C36B5" w:rsidP="003C36B5">
            <w:pPr>
              <w:pStyle w:val="Compact"/>
              <w:spacing w:before="20" w:after="20"/>
              <w:rPr>
                <w:sz w:val="16"/>
              </w:rPr>
            </w:pPr>
            <w:r w:rsidRPr="003C36B5">
              <w:rPr>
                <w:sz w:val="16"/>
              </w:rPr>
              <w:t>Pilotage, coordination, reporting au Committee</w:t>
            </w:r>
          </w:p>
        </w:tc>
      </w:tr>
      <w:tr w:rsidR="00ED107C" w:rsidRPr="003C36B5" w:rsidTr="003C36B5">
        <w:tc>
          <w:tcPr>
            <w:tcW w:w="2805" w:type="dxa"/>
            <w:shd w:val="clear" w:color="auto" w:fill="auto"/>
          </w:tcPr>
          <w:p w:rsidR="00ED107C" w:rsidRPr="003C36B5" w:rsidRDefault="003C36B5" w:rsidP="003C36B5">
            <w:pPr>
              <w:pStyle w:val="Compact"/>
              <w:spacing w:before="20" w:after="20"/>
              <w:rPr>
                <w:sz w:val="16"/>
              </w:rPr>
            </w:pPr>
            <w:r w:rsidRPr="003C36B5">
              <w:rPr>
                <w:sz w:val="16"/>
              </w:rPr>
              <w:t>Data Steward User</w:t>
            </w:r>
          </w:p>
        </w:tc>
        <w:tc>
          <w:tcPr>
            <w:tcW w:w="5115" w:type="dxa"/>
            <w:shd w:val="clear" w:color="auto" w:fill="auto"/>
          </w:tcPr>
          <w:p w:rsidR="00ED107C" w:rsidRPr="003C36B5" w:rsidRDefault="003C36B5" w:rsidP="003C36B5">
            <w:pPr>
              <w:pStyle w:val="Compact"/>
              <w:spacing w:before="20" w:after="20"/>
              <w:rPr>
                <w:sz w:val="16"/>
              </w:rPr>
            </w:pPr>
            <w:r w:rsidRPr="003C36B5">
              <w:rPr>
                <w:sz w:val="16"/>
              </w:rPr>
              <w:t>Qualité, classification, règles Great Expectations, catalogue</w:t>
            </w:r>
          </w:p>
        </w:tc>
      </w:tr>
      <w:tr w:rsidR="00ED107C" w:rsidRPr="003C36B5" w:rsidTr="003C36B5">
        <w:tc>
          <w:tcPr>
            <w:tcW w:w="2805" w:type="dxa"/>
            <w:shd w:val="clear" w:color="auto" w:fill="auto"/>
          </w:tcPr>
          <w:p w:rsidR="00ED107C" w:rsidRPr="003C36B5" w:rsidRDefault="003C36B5" w:rsidP="003C36B5">
            <w:pPr>
              <w:pStyle w:val="Compact"/>
              <w:spacing w:before="20" w:after="20"/>
              <w:rPr>
                <w:sz w:val="16"/>
              </w:rPr>
            </w:pPr>
            <w:r w:rsidRPr="003C36B5">
              <w:rPr>
                <w:sz w:val="16"/>
              </w:rPr>
              <w:t>DPO + Privacy Team</w:t>
            </w:r>
          </w:p>
        </w:tc>
        <w:tc>
          <w:tcPr>
            <w:tcW w:w="5115" w:type="dxa"/>
            <w:shd w:val="clear" w:color="auto" w:fill="auto"/>
          </w:tcPr>
          <w:p w:rsidR="00ED107C" w:rsidRPr="003C36B5" w:rsidRDefault="003C36B5" w:rsidP="003C36B5">
            <w:pPr>
              <w:pStyle w:val="Compact"/>
              <w:spacing w:before="20" w:after="20"/>
              <w:rPr>
                <w:sz w:val="16"/>
              </w:rPr>
            </w:pPr>
            <w:r w:rsidRPr="003C36B5">
              <w:rPr>
                <w:sz w:val="16"/>
              </w:rPr>
              <w:t>Audit de conformité, DPIA, test du pipeline de droits</w:t>
            </w:r>
          </w:p>
        </w:tc>
      </w:tr>
      <w:tr w:rsidR="00ED107C" w:rsidRPr="003C36B5" w:rsidTr="003C36B5">
        <w:tc>
          <w:tcPr>
            <w:tcW w:w="2805" w:type="dxa"/>
            <w:shd w:val="clear" w:color="auto" w:fill="auto"/>
          </w:tcPr>
          <w:p w:rsidR="00ED107C" w:rsidRPr="003C36B5" w:rsidRDefault="003C36B5" w:rsidP="003C36B5">
            <w:pPr>
              <w:pStyle w:val="Compact"/>
              <w:spacing w:before="20" w:after="20"/>
              <w:rPr>
                <w:sz w:val="16"/>
              </w:rPr>
            </w:pPr>
            <w:r w:rsidRPr="003C36B5">
              <w:rPr>
                <w:sz w:val="16"/>
              </w:rPr>
              <w:t>Data Engineers (Head of Engineering)</w:t>
            </w:r>
          </w:p>
        </w:tc>
        <w:tc>
          <w:tcPr>
            <w:tcW w:w="5115" w:type="dxa"/>
            <w:shd w:val="clear" w:color="auto" w:fill="auto"/>
          </w:tcPr>
          <w:p w:rsidR="00ED107C" w:rsidRPr="003C36B5" w:rsidRDefault="003C36B5" w:rsidP="003C36B5">
            <w:pPr>
              <w:pStyle w:val="Compact"/>
              <w:spacing w:before="20" w:after="20"/>
              <w:rPr>
                <w:sz w:val="16"/>
              </w:rPr>
            </w:pPr>
            <w:r w:rsidRPr="003C36B5">
              <w:rPr>
                <w:sz w:val="16"/>
              </w:rPr>
              <w:t>Intégration outils, pipeline d’effacement, pseudonymisation</w:t>
            </w:r>
          </w:p>
        </w:tc>
      </w:tr>
      <w:tr w:rsidR="00ED107C" w:rsidRPr="003C36B5" w:rsidTr="003C36B5">
        <w:tc>
          <w:tcPr>
            <w:tcW w:w="2805" w:type="dxa"/>
            <w:shd w:val="clear" w:color="auto" w:fill="auto"/>
          </w:tcPr>
          <w:p w:rsidR="00ED107C" w:rsidRPr="003C36B5" w:rsidRDefault="003C36B5" w:rsidP="003C36B5">
            <w:pPr>
              <w:pStyle w:val="Compact"/>
              <w:spacing w:before="20" w:after="20"/>
              <w:rPr>
                <w:sz w:val="16"/>
              </w:rPr>
            </w:pPr>
            <w:r w:rsidRPr="003C36B5">
              <w:rPr>
                <w:sz w:val="16"/>
              </w:rPr>
              <w:t>Department Head (VP P</w:t>
            </w:r>
            <w:r w:rsidRPr="003C36B5">
              <w:rPr>
                <w:sz w:val="16"/>
              </w:rPr>
              <w:t>roduct / User Experience)</w:t>
            </w:r>
          </w:p>
        </w:tc>
        <w:tc>
          <w:tcPr>
            <w:tcW w:w="5115" w:type="dxa"/>
            <w:shd w:val="clear" w:color="auto" w:fill="auto"/>
          </w:tcPr>
          <w:p w:rsidR="00ED107C" w:rsidRPr="003C36B5" w:rsidRDefault="003C36B5" w:rsidP="003C36B5">
            <w:pPr>
              <w:pStyle w:val="Compact"/>
              <w:spacing w:before="20" w:after="20"/>
              <w:rPr>
                <w:sz w:val="16"/>
              </w:rPr>
            </w:pPr>
            <w:r w:rsidRPr="003C36B5">
              <w:rPr>
                <w:sz w:val="16"/>
              </w:rPr>
              <w:t>Alignement métier, arbitrage des priorités, adoption</w:t>
            </w:r>
          </w:p>
        </w:tc>
      </w:tr>
    </w:tbl>
    <w:p w:rsidR="00ED107C" w:rsidRDefault="003C36B5">
      <w:pPr>
        <w:pStyle w:val="Corpsdetexte"/>
      </w:pPr>
      <w:r>
        <w:rPr>
          <w:b/>
          <w:bCs/>
        </w:rPr>
        <w:t>Jalons.</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5518"/>
        <w:gridCol w:w="1698"/>
        <w:gridCol w:w="2972"/>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429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Jalon</w:t>
            </w:r>
          </w:p>
        </w:tc>
        <w:tc>
          <w:tcPr>
            <w:tcW w:w="132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Date</w:t>
            </w:r>
          </w:p>
        </w:tc>
        <w:tc>
          <w:tcPr>
            <w:tcW w:w="231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Responsable</w:t>
            </w:r>
          </w:p>
        </w:tc>
      </w:tr>
      <w:tr w:rsidR="00ED107C" w:rsidRPr="003C36B5" w:rsidTr="003C36B5">
        <w:tc>
          <w:tcPr>
            <w:tcW w:w="4290" w:type="dxa"/>
            <w:shd w:val="clear" w:color="auto" w:fill="auto"/>
          </w:tcPr>
          <w:p w:rsidR="00ED107C" w:rsidRPr="003C36B5" w:rsidRDefault="003C36B5" w:rsidP="003C36B5">
            <w:pPr>
              <w:pStyle w:val="Compact"/>
              <w:spacing w:before="20" w:after="20"/>
              <w:rPr>
                <w:sz w:val="16"/>
              </w:rPr>
            </w:pPr>
            <w:r w:rsidRPr="003C36B5">
              <w:rPr>
                <w:sz w:val="16"/>
              </w:rPr>
              <w:t>Kick-off et mesure des baselines</w:t>
            </w:r>
          </w:p>
        </w:tc>
        <w:tc>
          <w:tcPr>
            <w:tcW w:w="1320" w:type="dxa"/>
            <w:shd w:val="clear" w:color="auto" w:fill="auto"/>
          </w:tcPr>
          <w:p w:rsidR="00ED107C" w:rsidRPr="003C36B5" w:rsidRDefault="003C36B5" w:rsidP="003C36B5">
            <w:pPr>
              <w:pStyle w:val="Compact"/>
              <w:spacing w:before="20" w:after="20"/>
              <w:rPr>
                <w:sz w:val="16"/>
              </w:rPr>
            </w:pPr>
            <w:r w:rsidRPr="003C36B5">
              <w:rPr>
                <w:sz w:val="16"/>
              </w:rPr>
              <w:t>M3 s1</w:t>
            </w:r>
          </w:p>
        </w:tc>
        <w:tc>
          <w:tcPr>
            <w:tcW w:w="2310" w:type="dxa"/>
            <w:shd w:val="clear" w:color="auto" w:fill="auto"/>
          </w:tcPr>
          <w:p w:rsidR="00ED107C" w:rsidRPr="003C36B5" w:rsidRDefault="003C36B5" w:rsidP="003C36B5">
            <w:pPr>
              <w:pStyle w:val="Compact"/>
              <w:spacing w:before="20" w:after="20"/>
              <w:rPr>
                <w:sz w:val="16"/>
              </w:rPr>
            </w:pPr>
            <w:r w:rsidRPr="003C36B5">
              <w:rPr>
                <w:sz w:val="16"/>
              </w:rPr>
              <w:t>Project Manager</w:t>
            </w:r>
          </w:p>
        </w:tc>
      </w:tr>
      <w:tr w:rsidR="00ED107C" w:rsidRPr="003C36B5" w:rsidTr="003C36B5">
        <w:tc>
          <w:tcPr>
            <w:tcW w:w="4290" w:type="dxa"/>
            <w:shd w:val="clear" w:color="auto" w:fill="auto"/>
          </w:tcPr>
          <w:p w:rsidR="00ED107C" w:rsidRPr="003C36B5" w:rsidRDefault="003C36B5" w:rsidP="003C36B5">
            <w:pPr>
              <w:pStyle w:val="Compact"/>
              <w:spacing w:before="20" w:after="20"/>
              <w:rPr>
                <w:sz w:val="16"/>
              </w:rPr>
            </w:pPr>
            <w:r w:rsidRPr="003C36B5">
              <w:rPr>
                <w:sz w:val="16"/>
              </w:rPr>
              <w:t>Data assessment et cleansing (périmètre UE)</w:t>
            </w:r>
          </w:p>
        </w:tc>
        <w:tc>
          <w:tcPr>
            <w:tcW w:w="1320" w:type="dxa"/>
            <w:shd w:val="clear" w:color="auto" w:fill="auto"/>
          </w:tcPr>
          <w:p w:rsidR="00ED107C" w:rsidRPr="003C36B5" w:rsidRDefault="003C36B5" w:rsidP="003C36B5">
            <w:pPr>
              <w:pStyle w:val="Compact"/>
              <w:spacing w:before="20" w:after="20"/>
              <w:rPr>
                <w:sz w:val="16"/>
              </w:rPr>
            </w:pPr>
            <w:r w:rsidRPr="003C36B5">
              <w:rPr>
                <w:sz w:val="16"/>
              </w:rPr>
              <w:t>M3 s2 → M4 s2</w:t>
            </w:r>
          </w:p>
        </w:tc>
        <w:tc>
          <w:tcPr>
            <w:tcW w:w="2310" w:type="dxa"/>
            <w:shd w:val="clear" w:color="auto" w:fill="auto"/>
          </w:tcPr>
          <w:p w:rsidR="00ED107C" w:rsidRPr="003C36B5" w:rsidRDefault="003C36B5" w:rsidP="003C36B5">
            <w:pPr>
              <w:pStyle w:val="Compact"/>
              <w:spacing w:before="20" w:after="20"/>
              <w:rPr>
                <w:sz w:val="16"/>
              </w:rPr>
            </w:pPr>
            <w:r w:rsidRPr="003C36B5">
              <w:rPr>
                <w:sz w:val="16"/>
              </w:rPr>
              <w:t>Data Steward User</w:t>
            </w:r>
          </w:p>
        </w:tc>
      </w:tr>
      <w:tr w:rsidR="00ED107C" w:rsidRPr="003C36B5" w:rsidTr="003C36B5">
        <w:tc>
          <w:tcPr>
            <w:tcW w:w="4290" w:type="dxa"/>
            <w:shd w:val="clear" w:color="auto" w:fill="auto"/>
          </w:tcPr>
          <w:p w:rsidR="00ED107C" w:rsidRPr="003C36B5" w:rsidRDefault="003C36B5" w:rsidP="003C36B5">
            <w:pPr>
              <w:pStyle w:val="Compact"/>
              <w:spacing w:before="20" w:after="20"/>
              <w:rPr>
                <w:sz w:val="16"/>
              </w:rPr>
            </w:pPr>
            <w:r w:rsidRPr="003C36B5">
              <w:rPr>
                <w:sz w:val="16"/>
              </w:rPr>
              <w:t>Audit de conformité GDPR/CCPA et DPIA</w:t>
            </w:r>
          </w:p>
        </w:tc>
        <w:tc>
          <w:tcPr>
            <w:tcW w:w="1320" w:type="dxa"/>
            <w:shd w:val="clear" w:color="auto" w:fill="auto"/>
          </w:tcPr>
          <w:p w:rsidR="00ED107C" w:rsidRPr="003C36B5" w:rsidRDefault="003C36B5" w:rsidP="003C36B5">
            <w:pPr>
              <w:pStyle w:val="Compact"/>
              <w:spacing w:before="20" w:after="20"/>
              <w:rPr>
                <w:sz w:val="16"/>
              </w:rPr>
            </w:pPr>
            <w:r w:rsidRPr="003C36B5">
              <w:rPr>
                <w:sz w:val="16"/>
              </w:rPr>
              <w:t>M4</w:t>
            </w:r>
          </w:p>
        </w:tc>
        <w:tc>
          <w:tcPr>
            <w:tcW w:w="2310" w:type="dxa"/>
            <w:shd w:val="clear" w:color="auto" w:fill="auto"/>
          </w:tcPr>
          <w:p w:rsidR="00ED107C" w:rsidRPr="003C36B5" w:rsidRDefault="003C36B5" w:rsidP="003C36B5">
            <w:pPr>
              <w:pStyle w:val="Compact"/>
              <w:spacing w:before="20" w:after="20"/>
              <w:rPr>
                <w:sz w:val="16"/>
              </w:rPr>
            </w:pPr>
            <w:r w:rsidRPr="003C36B5">
              <w:rPr>
                <w:sz w:val="16"/>
              </w:rPr>
              <w:t>DPO</w:t>
            </w:r>
          </w:p>
        </w:tc>
      </w:tr>
      <w:tr w:rsidR="00ED107C" w:rsidRPr="003C36B5" w:rsidTr="003C36B5">
        <w:tc>
          <w:tcPr>
            <w:tcW w:w="4290" w:type="dxa"/>
            <w:shd w:val="clear" w:color="auto" w:fill="auto"/>
          </w:tcPr>
          <w:p w:rsidR="00ED107C" w:rsidRPr="003C36B5" w:rsidRDefault="003C36B5" w:rsidP="003C36B5">
            <w:pPr>
              <w:pStyle w:val="Compact"/>
              <w:spacing w:before="20" w:after="20"/>
              <w:rPr>
                <w:sz w:val="16"/>
              </w:rPr>
            </w:pPr>
            <w:r w:rsidRPr="003C36B5">
              <w:rPr>
                <w:sz w:val="16"/>
              </w:rPr>
              <w:t>Setup technique : catalogue, Great Expectations, pipeline d’effacement</w:t>
            </w:r>
          </w:p>
        </w:tc>
        <w:tc>
          <w:tcPr>
            <w:tcW w:w="1320" w:type="dxa"/>
            <w:shd w:val="clear" w:color="auto" w:fill="auto"/>
          </w:tcPr>
          <w:p w:rsidR="00ED107C" w:rsidRPr="003C36B5" w:rsidRDefault="003C36B5" w:rsidP="003C36B5">
            <w:pPr>
              <w:pStyle w:val="Compact"/>
              <w:spacing w:before="20" w:after="20"/>
              <w:rPr>
                <w:sz w:val="16"/>
              </w:rPr>
            </w:pPr>
            <w:r w:rsidRPr="003C36B5">
              <w:rPr>
                <w:sz w:val="16"/>
              </w:rPr>
              <w:t>M4 → M5 s2</w:t>
            </w:r>
          </w:p>
        </w:tc>
        <w:tc>
          <w:tcPr>
            <w:tcW w:w="2310" w:type="dxa"/>
            <w:shd w:val="clear" w:color="auto" w:fill="auto"/>
          </w:tcPr>
          <w:p w:rsidR="00ED107C" w:rsidRPr="003C36B5" w:rsidRDefault="003C36B5" w:rsidP="003C36B5">
            <w:pPr>
              <w:pStyle w:val="Compact"/>
              <w:spacing w:before="20" w:after="20"/>
              <w:rPr>
                <w:sz w:val="16"/>
              </w:rPr>
            </w:pPr>
            <w:r w:rsidRPr="003C36B5">
              <w:rPr>
                <w:sz w:val="16"/>
              </w:rPr>
              <w:t>Data Engineers</w:t>
            </w:r>
          </w:p>
        </w:tc>
      </w:tr>
      <w:tr w:rsidR="00ED107C" w:rsidRPr="003C36B5" w:rsidTr="003C36B5">
        <w:tc>
          <w:tcPr>
            <w:tcW w:w="4290" w:type="dxa"/>
            <w:shd w:val="clear" w:color="auto" w:fill="auto"/>
          </w:tcPr>
          <w:p w:rsidR="00ED107C" w:rsidRPr="003C36B5" w:rsidRDefault="003C36B5" w:rsidP="003C36B5">
            <w:pPr>
              <w:pStyle w:val="Compact"/>
              <w:spacing w:before="20" w:after="20"/>
              <w:rPr>
                <w:sz w:val="16"/>
              </w:rPr>
            </w:pPr>
            <w:r w:rsidRPr="003C36B5">
              <w:rPr>
                <w:sz w:val="16"/>
              </w:rPr>
              <w:t>Revue à mi-parcours et ajustements</w:t>
            </w:r>
          </w:p>
        </w:tc>
        <w:tc>
          <w:tcPr>
            <w:tcW w:w="1320" w:type="dxa"/>
            <w:shd w:val="clear" w:color="auto" w:fill="auto"/>
          </w:tcPr>
          <w:p w:rsidR="00ED107C" w:rsidRPr="003C36B5" w:rsidRDefault="003C36B5" w:rsidP="003C36B5">
            <w:pPr>
              <w:pStyle w:val="Compact"/>
              <w:spacing w:before="20" w:after="20"/>
              <w:rPr>
                <w:sz w:val="16"/>
              </w:rPr>
            </w:pPr>
            <w:r w:rsidRPr="003C36B5">
              <w:rPr>
                <w:sz w:val="16"/>
              </w:rPr>
              <w:t>M5 s2</w:t>
            </w:r>
          </w:p>
        </w:tc>
        <w:tc>
          <w:tcPr>
            <w:tcW w:w="2310" w:type="dxa"/>
            <w:shd w:val="clear" w:color="auto" w:fill="auto"/>
          </w:tcPr>
          <w:p w:rsidR="00ED107C" w:rsidRPr="003C36B5" w:rsidRDefault="003C36B5" w:rsidP="003C36B5">
            <w:pPr>
              <w:pStyle w:val="Compact"/>
              <w:spacing w:before="20" w:after="20"/>
              <w:rPr>
                <w:sz w:val="16"/>
              </w:rPr>
            </w:pPr>
            <w:r w:rsidRPr="003C36B5">
              <w:rPr>
                <w:sz w:val="16"/>
              </w:rPr>
              <w:t>Project Manager</w:t>
            </w:r>
          </w:p>
        </w:tc>
      </w:tr>
      <w:tr w:rsidR="00ED107C" w:rsidRPr="003C36B5" w:rsidTr="003C36B5">
        <w:tc>
          <w:tcPr>
            <w:tcW w:w="4290" w:type="dxa"/>
            <w:shd w:val="clear" w:color="auto" w:fill="auto"/>
          </w:tcPr>
          <w:p w:rsidR="00ED107C" w:rsidRPr="003C36B5" w:rsidRDefault="003C36B5" w:rsidP="003C36B5">
            <w:pPr>
              <w:pStyle w:val="Compact"/>
              <w:spacing w:before="20" w:after="20"/>
              <w:rPr>
                <w:sz w:val="16"/>
              </w:rPr>
            </w:pPr>
            <w:r w:rsidRPr="003C36B5">
              <w:rPr>
                <w:sz w:val="16"/>
              </w:rPr>
              <w:t>Premier audit des biais de recommandation</w:t>
            </w:r>
          </w:p>
        </w:tc>
        <w:tc>
          <w:tcPr>
            <w:tcW w:w="1320" w:type="dxa"/>
            <w:shd w:val="clear" w:color="auto" w:fill="auto"/>
          </w:tcPr>
          <w:p w:rsidR="00ED107C" w:rsidRPr="003C36B5" w:rsidRDefault="003C36B5" w:rsidP="003C36B5">
            <w:pPr>
              <w:pStyle w:val="Compact"/>
              <w:spacing w:before="20" w:after="20"/>
              <w:rPr>
                <w:sz w:val="16"/>
              </w:rPr>
            </w:pPr>
            <w:r w:rsidRPr="003C36B5">
              <w:rPr>
                <w:sz w:val="16"/>
              </w:rPr>
              <w:t>M5 s3-4</w:t>
            </w:r>
          </w:p>
        </w:tc>
        <w:tc>
          <w:tcPr>
            <w:tcW w:w="2310" w:type="dxa"/>
            <w:shd w:val="clear" w:color="auto" w:fill="auto"/>
          </w:tcPr>
          <w:p w:rsidR="00ED107C" w:rsidRPr="003C36B5" w:rsidRDefault="003C36B5" w:rsidP="003C36B5">
            <w:pPr>
              <w:pStyle w:val="Compact"/>
              <w:spacing w:before="20" w:after="20"/>
              <w:rPr>
                <w:sz w:val="16"/>
              </w:rPr>
            </w:pPr>
            <w:r w:rsidRPr="003C36B5">
              <w:rPr>
                <w:sz w:val="16"/>
              </w:rPr>
              <w:t>Head of Engineering + DPO</w:t>
            </w:r>
          </w:p>
        </w:tc>
      </w:tr>
      <w:tr w:rsidR="00ED107C" w:rsidRPr="003C36B5" w:rsidTr="003C36B5">
        <w:tc>
          <w:tcPr>
            <w:tcW w:w="4290" w:type="dxa"/>
            <w:shd w:val="clear" w:color="auto" w:fill="auto"/>
          </w:tcPr>
          <w:p w:rsidR="00ED107C" w:rsidRPr="003C36B5" w:rsidRDefault="003C36B5" w:rsidP="003C36B5">
            <w:pPr>
              <w:pStyle w:val="Compact"/>
              <w:spacing w:before="20" w:after="20"/>
              <w:rPr>
                <w:sz w:val="16"/>
              </w:rPr>
            </w:pPr>
            <w:r w:rsidRPr="003C36B5">
              <w:rPr>
                <w:sz w:val="16"/>
              </w:rPr>
              <w:t>Revue finale, lessons learned, Go/No-Go</w:t>
            </w:r>
          </w:p>
        </w:tc>
        <w:tc>
          <w:tcPr>
            <w:tcW w:w="1320" w:type="dxa"/>
            <w:shd w:val="clear" w:color="auto" w:fill="auto"/>
          </w:tcPr>
          <w:p w:rsidR="00ED107C" w:rsidRPr="003C36B5" w:rsidRDefault="003C36B5" w:rsidP="003C36B5">
            <w:pPr>
              <w:pStyle w:val="Compact"/>
              <w:spacing w:before="20" w:after="20"/>
              <w:rPr>
                <w:sz w:val="16"/>
              </w:rPr>
            </w:pPr>
            <w:r w:rsidRPr="003C36B5">
              <w:rPr>
                <w:sz w:val="16"/>
              </w:rPr>
              <w:t>M6 s4</w:t>
            </w:r>
          </w:p>
        </w:tc>
        <w:tc>
          <w:tcPr>
            <w:tcW w:w="2310" w:type="dxa"/>
            <w:shd w:val="clear" w:color="auto" w:fill="auto"/>
          </w:tcPr>
          <w:p w:rsidR="00ED107C" w:rsidRPr="003C36B5" w:rsidRDefault="003C36B5" w:rsidP="003C36B5">
            <w:pPr>
              <w:pStyle w:val="Compact"/>
              <w:spacing w:before="20" w:after="20"/>
              <w:rPr>
                <w:sz w:val="16"/>
              </w:rPr>
            </w:pPr>
            <w:r w:rsidRPr="003C36B5">
              <w:rPr>
                <w:sz w:val="16"/>
              </w:rPr>
              <w:t>Project Manager → Committee</w:t>
            </w:r>
          </w:p>
        </w:tc>
      </w:tr>
    </w:tbl>
    <w:p w:rsidR="00ED107C" w:rsidRDefault="003C36B5">
      <w:pPr>
        <w:pStyle w:val="Corpsdetexte"/>
      </w:pPr>
      <w:r>
        <w:rPr>
          <w:b/>
          <w:bCs/>
        </w:rPr>
        <w:t>Livrables</w:t>
      </w:r>
      <w:r>
        <w:t xml:space="preserve"> : Data Quality Report · Compliance Assessment · Technical Integration Plan · Risk Assessment Report · Stakeholder Feedback.</w:t>
      </w:r>
    </w:p>
    <w:p w:rsidR="00ED107C" w:rsidRDefault="003C36B5">
      <w:pPr>
        <w:pStyle w:val="Corpsdetexte"/>
      </w:pPr>
      <w:r>
        <w:rPr>
          <w:b/>
          <w:bCs/>
        </w:rPr>
        <w:t>KPIs.</w:t>
      </w:r>
      <w:r>
        <w:t xml:space="preserve"> Toutes les bas</w:t>
      </w:r>
      <w:r>
        <w:t>elines sont mesurées en M3 semaine 1.</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537"/>
        <w:gridCol w:w="3845"/>
        <w:gridCol w:w="961"/>
        <w:gridCol w:w="2499"/>
        <w:gridCol w:w="1346"/>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119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KPI</w:t>
            </w:r>
          </w:p>
        </w:tc>
        <w:tc>
          <w:tcPr>
            <w:tcW w:w="2988"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Définition</w:t>
            </w:r>
          </w:p>
        </w:tc>
        <w:tc>
          <w:tcPr>
            <w:tcW w:w="747"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Baseline</w:t>
            </w:r>
          </w:p>
        </w:tc>
        <w:tc>
          <w:tcPr>
            <w:tcW w:w="1942"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Cible M6</w:t>
            </w:r>
          </w:p>
        </w:tc>
        <w:tc>
          <w:tcPr>
            <w:tcW w:w="1046"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Source</w:t>
            </w:r>
          </w:p>
        </w:tc>
      </w:tr>
      <w:tr w:rsidR="00ED107C" w:rsidRPr="003C36B5" w:rsidTr="003C36B5">
        <w:tc>
          <w:tcPr>
            <w:tcW w:w="1195" w:type="dxa"/>
            <w:shd w:val="clear" w:color="auto" w:fill="auto"/>
          </w:tcPr>
          <w:p w:rsidR="00ED107C" w:rsidRPr="003C36B5" w:rsidRDefault="003C36B5" w:rsidP="003C36B5">
            <w:pPr>
              <w:pStyle w:val="Compact"/>
              <w:spacing w:before="20" w:after="20"/>
              <w:rPr>
                <w:sz w:val="16"/>
              </w:rPr>
            </w:pPr>
            <w:r w:rsidRPr="003C36B5">
              <w:rPr>
                <w:sz w:val="16"/>
              </w:rPr>
              <w:t>Data Quality Score</w:t>
            </w:r>
          </w:p>
        </w:tc>
        <w:tc>
          <w:tcPr>
            <w:tcW w:w="2988" w:type="dxa"/>
            <w:shd w:val="clear" w:color="auto" w:fill="auto"/>
          </w:tcPr>
          <w:p w:rsidR="00ED107C" w:rsidRPr="003C36B5" w:rsidRDefault="003C36B5" w:rsidP="003C36B5">
            <w:pPr>
              <w:pStyle w:val="Compact"/>
              <w:spacing w:before="20" w:after="20"/>
              <w:rPr>
                <w:sz w:val="16"/>
              </w:rPr>
            </w:pPr>
            <w:r w:rsidRPr="003C36B5">
              <w:rPr>
                <w:sz w:val="16"/>
              </w:rPr>
              <w:t>% de champs obligatoires manquants sur les datasets critiques User</w:t>
            </w:r>
          </w:p>
        </w:tc>
        <w:tc>
          <w:tcPr>
            <w:tcW w:w="747" w:type="dxa"/>
            <w:shd w:val="clear" w:color="auto" w:fill="auto"/>
          </w:tcPr>
          <w:p w:rsidR="00ED107C" w:rsidRPr="003C36B5" w:rsidRDefault="003C36B5" w:rsidP="003C36B5">
            <w:pPr>
              <w:pStyle w:val="Compact"/>
              <w:spacing w:before="20" w:after="20"/>
              <w:rPr>
                <w:sz w:val="16"/>
              </w:rPr>
            </w:pPr>
            <w:r w:rsidRPr="003C36B5">
              <w:rPr>
                <w:sz w:val="16"/>
              </w:rPr>
              <w:t>à mesurer</w:t>
            </w:r>
          </w:p>
        </w:tc>
        <w:tc>
          <w:tcPr>
            <w:tcW w:w="1942" w:type="dxa"/>
            <w:shd w:val="clear" w:color="auto" w:fill="auto"/>
          </w:tcPr>
          <w:p w:rsidR="00ED107C" w:rsidRPr="003C36B5" w:rsidRDefault="003C36B5" w:rsidP="003C36B5">
            <w:pPr>
              <w:pStyle w:val="Compact"/>
              <w:spacing w:before="20" w:after="20"/>
              <w:rPr>
                <w:sz w:val="16"/>
              </w:rPr>
            </w:pPr>
            <w:r w:rsidRPr="003C36B5">
              <w:rPr>
                <w:b/>
                <w:bCs/>
                <w:sz w:val="16"/>
              </w:rPr>
              <w:t>-10 %</w:t>
            </w:r>
            <w:r w:rsidRPr="003C36B5">
              <w:rPr>
                <w:sz w:val="16"/>
              </w:rPr>
              <w:t xml:space="preserve"> de données manquantes (complétude &gt; 98 %)</w:t>
            </w:r>
          </w:p>
        </w:tc>
        <w:tc>
          <w:tcPr>
            <w:tcW w:w="1046" w:type="dxa"/>
            <w:shd w:val="clear" w:color="auto" w:fill="auto"/>
          </w:tcPr>
          <w:p w:rsidR="00ED107C" w:rsidRPr="003C36B5" w:rsidRDefault="003C36B5" w:rsidP="003C36B5">
            <w:pPr>
              <w:pStyle w:val="Compact"/>
              <w:spacing w:before="20" w:after="20"/>
              <w:rPr>
                <w:sz w:val="16"/>
              </w:rPr>
            </w:pPr>
            <w:r w:rsidRPr="003C36B5">
              <w:rPr>
                <w:sz w:val="16"/>
              </w:rPr>
              <w:t>Great Expectations</w:t>
            </w:r>
          </w:p>
        </w:tc>
      </w:tr>
      <w:tr w:rsidR="00ED107C" w:rsidRPr="003C36B5" w:rsidTr="003C36B5">
        <w:tc>
          <w:tcPr>
            <w:tcW w:w="1195" w:type="dxa"/>
            <w:shd w:val="clear" w:color="auto" w:fill="auto"/>
          </w:tcPr>
          <w:p w:rsidR="00ED107C" w:rsidRPr="003C36B5" w:rsidRDefault="003C36B5" w:rsidP="003C36B5">
            <w:pPr>
              <w:pStyle w:val="Compact"/>
              <w:spacing w:before="20" w:after="20"/>
              <w:rPr>
                <w:sz w:val="16"/>
              </w:rPr>
            </w:pPr>
            <w:r w:rsidRPr="003C36B5">
              <w:rPr>
                <w:sz w:val="16"/>
              </w:rPr>
              <w:t>Compliance Score</w:t>
            </w:r>
          </w:p>
        </w:tc>
        <w:tc>
          <w:tcPr>
            <w:tcW w:w="2988" w:type="dxa"/>
            <w:shd w:val="clear" w:color="auto" w:fill="auto"/>
          </w:tcPr>
          <w:p w:rsidR="00ED107C" w:rsidRPr="003C36B5" w:rsidRDefault="003C36B5" w:rsidP="003C36B5">
            <w:pPr>
              <w:pStyle w:val="Compact"/>
              <w:spacing w:before="20" w:after="20"/>
              <w:rPr>
                <w:sz w:val="16"/>
              </w:rPr>
            </w:pPr>
            <w:r w:rsidRPr="003C36B5">
              <w:rPr>
                <w:sz w:val="16"/>
              </w:rPr>
              <w:t>% de traitements User avec base légale documentée et consentement valide quand requis</w:t>
            </w:r>
          </w:p>
        </w:tc>
        <w:tc>
          <w:tcPr>
            <w:tcW w:w="747" w:type="dxa"/>
            <w:shd w:val="clear" w:color="auto" w:fill="auto"/>
          </w:tcPr>
          <w:p w:rsidR="00ED107C" w:rsidRPr="003C36B5" w:rsidRDefault="003C36B5" w:rsidP="003C36B5">
            <w:pPr>
              <w:pStyle w:val="Compact"/>
              <w:spacing w:before="20" w:after="20"/>
              <w:rPr>
                <w:sz w:val="16"/>
              </w:rPr>
            </w:pPr>
            <w:r w:rsidRPr="003C36B5">
              <w:rPr>
                <w:sz w:val="16"/>
              </w:rPr>
              <w:t>à mesurer</w:t>
            </w:r>
          </w:p>
        </w:tc>
        <w:tc>
          <w:tcPr>
            <w:tcW w:w="1942" w:type="dxa"/>
            <w:shd w:val="clear" w:color="auto" w:fill="auto"/>
          </w:tcPr>
          <w:p w:rsidR="00ED107C" w:rsidRPr="003C36B5" w:rsidRDefault="003C36B5" w:rsidP="003C36B5">
            <w:pPr>
              <w:pStyle w:val="Compact"/>
              <w:spacing w:before="20" w:after="20"/>
              <w:rPr>
                <w:sz w:val="16"/>
              </w:rPr>
            </w:pPr>
            <w:r w:rsidRPr="003C36B5">
              <w:rPr>
                <w:b/>
                <w:bCs/>
                <w:sz w:val="16"/>
              </w:rPr>
              <w:t>100 %</w:t>
            </w:r>
          </w:p>
        </w:tc>
        <w:tc>
          <w:tcPr>
            <w:tcW w:w="1046" w:type="dxa"/>
            <w:shd w:val="clear" w:color="auto" w:fill="auto"/>
          </w:tcPr>
          <w:p w:rsidR="00ED107C" w:rsidRPr="003C36B5" w:rsidRDefault="003C36B5" w:rsidP="003C36B5">
            <w:pPr>
              <w:pStyle w:val="Compact"/>
              <w:spacing w:before="20" w:after="20"/>
              <w:rPr>
                <w:sz w:val="16"/>
              </w:rPr>
            </w:pPr>
            <w:r w:rsidRPr="003C36B5">
              <w:rPr>
                <w:sz w:val="16"/>
              </w:rPr>
              <w:t>OneTrust</w:t>
            </w:r>
          </w:p>
        </w:tc>
      </w:tr>
      <w:tr w:rsidR="00ED107C" w:rsidRPr="003C36B5" w:rsidTr="003C36B5">
        <w:tc>
          <w:tcPr>
            <w:tcW w:w="1195" w:type="dxa"/>
            <w:shd w:val="clear" w:color="auto" w:fill="auto"/>
          </w:tcPr>
          <w:p w:rsidR="00ED107C" w:rsidRPr="003C36B5" w:rsidRDefault="003C36B5" w:rsidP="003C36B5">
            <w:pPr>
              <w:pStyle w:val="Compact"/>
              <w:spacing w:before="20" w:after="20"/>
              <w:rPr>
                <w:sz w:val="16"/>
              </w:rPr>
            </w:pPr>
            <w:r w:rsidRPr="003C36B5">
              <w:rPr>
                <w:sz w:val="16"/>
              </w:rPr>
              <w:lastRenderedPageBreak/>
              <w:t>Data Access Speed</w:t>
            </w:r>
          </w:p>
        </w:tc>
        <w:tc>
          <w:tcPr>
            <w:tcW w:w="2988" w:type="dxa"/>
            <w:shd w:val="clear" w:color="auto" w:fill="auto"/>
          </w:tcPr>
          <w:p w:rsidR="00ED107C" w:rsidRPr="003C36B5" w:rsidRDefault="003C36B5" w:rsidP="003C36B5">
            <w:pPr>
              <w:pStyle w:val="Compact"/>
              <w:spacing w:before="20" w:after="20"/>
              <w:rPr>
                <w:sz w:val="16"/>
              </w:rPr>
            </w:pPr>
            <w:r w:rsidRPr="003C36B5">
              <w:rPr>
                <w:sz w:val="16"/>
              </w:rPr>
              <w:t>Délai médian entre demande d’accès à un dataset et accès effectif</w:t>
            </w:r>
          </w:p>
        </w:tc>
        <w:tc>
          <w:tcPr>
            <w:tcW w:w="747" w:type="dxa"/>
            <w:shd w:val="clear" w:color="auto" w:fill="auto"/>
          </w:tcPr>
          <w:p w:rsidR="00ED107C" w:rsidRPr="003C36B5" w:rsidRDefault="003C36B5" w:rsidP="003C36B5">
            <w:pPr>
              <w:pStyle w:val="Compact"/>
              <w:spacing w:before="20" w:after="20"/>
              <w:rPr>
                <w:sz w:val="16"/>
              </w:rPr>
            </w:pPr>
            <w:r w:rsidRPr="003C36B5">
              <w:rPr>
                <w:sz w:val="16"/>
              </w:rPr>
              <w:t>à mesurer</w:t>
            </w:r>
          </w:p>
        </w:tc>
        <w:tc>
          <w:tcPr>
            <w:tcW w:w="1942" w:type="dxa"/>
            <w:shd w:val="clear" w:color="auto" w:fill="auto"/>
          </w:tcPr>
          <w:p w:rsidR="00ED107C" w:rsidRPr="003C36B5" w:rsidRDefault="003C36B5" w:rsidP="003C36B5">
            <w:pPr>
              <w:pStyle w:val="Compact"/>
              <w:spacing w:before="20" w:after="20"/>
              <w:rPr>
                <w:sz w:val="16"/>
              </w:rPr>
            </w:pPr>
            <w:r w:rsidRPr="003C36B5">
              <w:rPr>
                <w:b/>
                <w:bCs/>
                <w:sz w:val="16"/>
              </w:rPr>
              <w:t>-20 %</w:t>
            </w:r>
          </w:p>
        </w:tc>
        <w:tc>
          <w:tcPr>
            <w:tcW w:w="1046" w:type="dxa"/>
            <w:shd w:val="clear" w:color="auto" w:fill="auto"/>
          </w:tcPr>
          <w:p w:rsidR="00ED107C" w:rsidRPr="003C36B5" w:rsidRDefault="003C36B5" w:rsidP="003C36B5">
            <w:pPr>
              <w:pStyle w:val="Compact"/>
              <w:spacing w:before="20" w:after="20"/>
              <w:rPr>
                <w:sz w:val="16"/>
              </w:rPr>
            </w:pPr>
            <w:r w:rsidRPr="003C36B5">
              <w:rPr>
                <w:sz w:val="16"/>
              </w:rPr>
              <w:t>Catalogue</w:t>
            </w:r>
          </w:p>
        </w:tc>
      </w:tr>
      <w:tr w:rsidR="00ED107C" w:rsidRPr="003C36B5" w:rsidTr="003C36B5">
        <w:tc>
          <w:tcPr>
            <w:tcW w:w="1195" w:type="dxa"/>
            <w:shd w:val="clear" w:color="auto" w:fill="auto"/>
          </w:tcPr>
          <w:p w:rsidR="00ED107C" w:rsidRPr="003C36B5" w:rsidRDefault="003C36B5" w:rsidP="003C36B5">
            <w:pPr>
              <w:pStyle w:val="Compact"/>
              <w:spacing w:before="20" w:after="20"/>
              <w:rPr>
                <w:sz w:val="16"/>
              </w:rPr>
            </w:pPr>
            <w:r w:rsidRPr="003C36B5">
              <w:rPr>
                <w:sz w:val="16"/>
              </w:rPr>
              <w:t>Risk Mitigation Score</w:t>
            </w:r>
          </w:p>
        </w:tc>
        <w:tc>
          <w:tcPr>
            <w:tcW w:w="2988" w:type="dxa"/>
            <w:shd w:val="clear" w:color="auto" w:fill="auto"/>
          </w:tcPr>
          <w:p w:rsidR="00ED107C" w:rsidRPr="003C36B5" w:rsidRDefault="003C36B5" w:rsidP="003C36B5">
            <w:pPr>
              <w:pStyle w:val="Compact"/>
              <w:spacing w:before="20" w:after="20"/>
              <w:rPr>
                <w:sz w:val="16"/>
              </w:rPr>
            </w:pPr>
            <w:r w:rsidRPr="003C36B5">
              <w:rPr>
                <w:sz w:val="16"/>
              </w:rPr>
              <w:t>Datasets User classifiés et chiffrés selon leur classe ; incidents</w:t>
            </w:r>
          </w:p>
        </w:tc>
        <w:tc>
          <w:tcPr>
            <w:tcW w:w="747" w:type="dxa"/>
            <w:shd w:val="clear" w:color="auto" w:fill="auto"/>
          </w:tcPr>
          <w:p w:rsidR="00ED107C" w:rsidRPr="003C36B5" w:rsidRDefault="003C36B5" w:rsidP="003C36B5">
            <w:pPr>
              <w:pStyle w:val="Compact"/>
              <w:spacing w:before="20" w:after="20"/>
              <w:rPr>
                <w:sz w:val="16"/>
              </w:rPr>
            </w:pPr>
            <w:r w:rsidRPr="003C36B5">
              <w:rPr>
                <w:sz w:val="16"/>
              </w:rPr>
              <w:t>à mesurer</w:t>
            </w:r>
          </w:p>
        </w:tc>
        <w:tc>
          <w:tcPr>
            <w:tcW w:w="1942" w:type="dxa"/>
            <w:shd w:val="clear" w:color="auto" w:fill="auto"/>
          </w:tcPr>
          <w:p w:rsidR="00ED107C" w:rsidRPr="003C36B5" w:rsidRDefault="003C36B5" w:rsidP="003C36B5">
            <w:pPr>
              <w:pStyle w:val="Compact"/>
              <w:spacing w:before="20" w:after="20"/>
              <w:rPr>
                <w:sz w:val="16"/>
              </w:rPr>
            </w:pPr>
            <w:r w:rsidRPr="003C36B5">
              <w:rPr>
                <w:sz w:val="16"/>
              </w:rPr>
              <w:t xml:space="preserve">100 % classifiés, </w:t>
            </w:r>
            <w:r w:rsidRPr="003C36B5">
              <w:rPr>
                <w:b/>
                <w:bCs/>
                <w:sz w:val="16"/>
              </w:rPr>
              <w:t>0 incident</w:t>
            </w:r>
          </w:p>
        </w:tc>
        <w:tc>
          <w:tcPr>
            <w:tcW w:w="1046" w:type="dxa"/>
            <w:shd w:val="clear" w:color="auto" w:fill="auto"/>
          </w:tcPr>
          <w:p w:rsidR="00ED107C" w:rsidRPr="003C36B5" w:rsidRDefault="003C36B5" w:rsidP="003C36B5">
            <w:pPr>
              <w:pStyle w:val="Compact"/>
              <w:spacing w:before="20" w:after="20"/>
              <w:rPr>
                <w:sz w:val="16"/>
              </w:rPr>
            </w:pPr>
            <w:r w:rsidRPr="003C36B5">
              <w:rPr>
                <w:sz w:val="16"/>
              </w:rPr>
              <w:t>Catalogue, Splunk</w:t>
            </w:r>
          </w:p>
        </w:tc>
      </w:tr>
      <w:tr w:rsidR="00ED107C" w:rsidRPr="003C36B5" w:rsidTr="003C36B5">
        <w:tc>
          <w:tcPr>
            <w:tcW w:w="1195" w:type="dxa"/>
            <w:shd w:val="clear" w:color="auto" w:fill="auto"/>
          </w:tcPr>
          <w:p w:rsidR="00ED107C" w:rsidRPr="003C36B5" w:rsidRDefault="003C36B5" w:rsidP="003C36B5">
            <w:pPr>
              <w:pStyle w:val="Compact"/>
              <w:spacing w:before="20" w:after="20"/>
              <w:rPr>
                <w:sz w:val="16"/>
              </w:rPr>
            </w:pPr>
            <w:r w:rsidRPr="003C36B5">
              <w:rPr>
                <w:sz w:val="16"/>
              </w:rPr>
              <w:t>Droits des personnes</w:t>
            </w:r>
          </w:p>
        </w:tc>
        <w:tc>
          <w:tcPr>
            <w:tcW w:w="2988" w:type="dxa"/>
            <w:shd w:val="clear" w:color="auto" w:fill="auto"/>
          </w:tcPr>
          <w:p w:rsidR="00ED107C" w:rsidRPr="003C36B5" w:rsidRDefault="003C36B5" w:rsidP="003C36B5">
            <w:pPr>
              <w:pStyle w:val="Compact"/>
              <w:spacing w:before="20" w:after="20"/>
              <w:rPr>
                <w:sz w:val="16"/>
              </w:rPr>
            </w:pPr>
            <w:r w:rsidRPr="003C36B5">
              <w:rPr>
                <w:sz w:val="16"/>
              </w:rPr>
              <w:t>Délai de traitement d’une demande d’effacement / d’accès</w:t>
            </w:r>
          </w:p>
        </w:tc>
        <w:tc>
          <w:tcPr>
            <w:tcW w:w="747" w:type="dxa"/>
            <w:shd w:val="clear" w:color="auto" w:fill="auto"/>
          </w:tcPr>
          <w:p w:rsidR="00ED107C" w:rsidRPr="003C36B5" w:rsidRDefault="003C36B5" w:rsidP="003C36B5">
            <w:pPr>
              <w:pStyle w:val="Compact"/>
              <w:spacing w:before="20" w:after="20"/>
              <w:rPr>
                <w:sz w:val="16"/>
              </w:rPr>
            </w:pPr>
            <w:r w:rsidRPr="003C36B5">
              <w:rPr>
                <w:sz w:val="16"/>
              </w:rPr>
              <w:t>à mesurer</w:t>
            </w:r>
          </w:p>
        </w:tc>
        <w:tc>
          <w:tcPr>
            <w:tcW w:w="1942" w:type="dxa"/>
            <w:shd w:val="clear" w:color="auto" w:fill="auto"/>
          </w:tcPr>
          <w:p w:rsidR="00ED107C" w:rsidRPr="003C36B5" w:rsidRDefault="003C36B5" w:rsidP="003C36B5">
            <w:pPr>
              <w:pStyle w:val="Compact"/>
              <w:spacing w:before="20" w:after="20"/>
              <w:rPr>
                <w:sz w:val="16"/>
              </w:rPr>
            </w:pPr>
            <w:r w:rsidRPr="003C36B5">
              <w:rPr>
                <w:b/>
                <w:bCs/>
                <w:sz w:val="16"/>
              </w:rPr>
              <w:t>&lt; 30 jours</w:t>
            </w:r>
            <w:r w:rsidRPr="003C36B5">
              <w:rPr>
                <w:sz w:val="16"/>
              </w:rPr>
              <w:t>, 100 % dans le délai légal</w:t>
            </w:r>
          </w:p>
        </w:tc>
        <w:tc>
          <w:tcPr>
            <w:tcW w:w="1046" w:type="dxa"/>
            <w:shd w:val="clear" w:color="auto" w:fill="auto"/>
          </w:tcPr>
          <w:p w:rsidR="00ED107C" w:rsidRPr="003C36B5" w:rsidRDefault="003C36B5" w:rsidP="003C36B5">
            <w:pPr>
              <w:pStyle w:val="Compact"/>
              <w:spacing w:before="20" w:after="20"/>
              <w:rPr>
                <w:sz w:val="16"/>
              </w:rPr>
            </w:pPr>
            <w:r w:rsidRPr="003C36B5">
              <w:rPr>
                <w:sz w:val="16"/>
              </w:rPr>
              <w:t>Privacy Team</w:t>
            </w:r>
          </w:p>
        </w:tc>
      </w:tr>
    </w:tbl>
    <w:p w:rsidR="00ED107C" w:rsidRDefault="003C36B5">
      <w:pPr>
        <w:pStyle w:val="Corpsdetexte"/>
      </w:pPr>
      <w:r>
        <w:rPr>
          <w:b/>
          <w:bCs/>
        </w:rPr>
        <w:t>Risques du pilote.</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608"/>
        <w:gridCol w:w="955"/>
        <w:gridCol w:w="955"/>
        <w:gridCol w:w="4670"/>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280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Risque</w:t>
            </w:r>
          </w:p>
        </w:tc>
        <w:tc>
          <w:tcPr>
            <w:tcW w:w="742"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Prob.</w:t>
            </w:r>
          </w:p>
        </w:tc>
        <w:tc>
          <w:tcPr>
            <w:tcW w:w="742"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Impact</w:t>
            </w:r>
          </w:p>
        </w:tc>
        <w:tc>
          <w:tcPr>
            <w:tcW w:w="3630"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Mitigation</w:t>
            </w:r>
          </w:p>
        </w:tc>
      </w:tr>
      <w:tr w:rsidR="00ED107C" w:rsidRPr="003C36B5" w:rsidTr="003C36B5">
        <w:tc>
          <w:tcPr>
            <w:tcW w:w="2805" w:type="dxa"/>
            <w:shd w:val="clear" w:color="auto" w:fill="auto"/>
          </w:tcPr>
          <w:p w:rsidR="00ED107C" w:rsidRPr="003C36B5" w:rsidRDefault="003C36B5" w:rsidP="003C36B5">
            <w:pPr>
              <w:pStyle w:val="Compact"/>
              <w:spacing w:before="20" w:after="20"/>
              <w:rPr>
                <w:sz w:val="16"/>
              </w:rPr>
            </w:pPr>
            <w:r w:rsidRPr="003C36B5">
              <w:rPr>
                <w:sz w:val="16"/>
              </w:rPr>
              <w:t>Non-conformité résiduelle GDPR/CCPA</w:t>
            </w:r>
          </w:p>
        </w:tc>
        <w:tc>
          <w:tcPr>
            <w:tcW w:w="742" w:type="dxa"/>
            <w:shd w:val="clear" w:color="auto" w:fill="auto"/>
          </w:tcPr>
          <w:p w:rsidR="00ED107C" w:rsidRPr="003C36B5" w:rsidRDefault="003C36B5" w:rsidP="003C36B5">
            <w:pPr>
              <w:pStyle w:val="Compact"/>
              <w:spacing w:before="20" w:after="20"/>
              <w:rPr>
                <w:sz w:val="16"/>
              </w:rPr>
            </w:pPr>
            <w:r w:rsidRPr="003C36B5">
              <w:rPr>
                <w:sz w:val="16"/>
              </w:rPr>
              <w:t>Moyenne</w:t>
            </w:r>
          </w:p>
        </w:tc>
        <w:tc>
          <w:tcPr>
            <w:tcW w:w="742" w:type="dxa"/>
            <w:shd w:val="clear" w:color="auto" w:fill="auto"/>
          </w:tcPr>
          <w:p w:rsidR="00ED107C" w:rsidRPr="003C36B5" w:rsidRDefault="003C36B5" w:rsidP="003C36B5">
            <w:pPr>
              <w:pStyle w:val="Compact"/>
              <w:spacing w:before="20" w:after="20"/>
              <w:rPr>
                <w:sz w:val="16"/>
              </w:rPr>
            </w:pPr>
            <w:r w:rsidRPr="003C36B5">
              <w:rPr>
                <w:sz w:val="16"/>
              </w:rPr>
              <w:t>Élevé</w:t>
            </w:r>
          </w:p>
        </w:tc>
        <w:tc>
          <w:tcPr>
            <w:tcW w:w="3630" w:type="dxa"/>
            <w:shd w:val="clear" w:color="auto" w:fill="auto"/>
          </w:tcPr>
          <w:p w:rsidR="00ED107C" w:rsidRPr="003C36B5" w:rsidRDefault="003C36B5" w:rsidP="003C36B5">
            <w:pPr>
              <w:pStyle w:val="Compact"/>
              <w:spacing w:before="20" w:after="20"/>
              <w:rPr>
                <w:sz w:val="16"/>
              </w:rPr>
            </w:pPr>
            <w:r w:rsidRPr="003C36B5">
              <w:rPr>
                <w:sz w:val="16"/>
              </w:rPr>
              <w:t>Audit DPO en M4, formation, DPIA avant toute mise en production</w:t>
            </w:r>
          </w:p>
        </w:tc>
      </w:tr>
      <w:tr w:rsidR="00ED107C" w:rsidRPr="003C36B5" w:rsidTr="003C36B5">
        <w:tc>
          <w:tcPr>
            <w:tcW w:w="2805" w:type="dxa"/>
            <w:shd w:val="clear" w:color="auto" w:fill="auto"/>
          </w:tcPr>
          <w:p w:rsidR="00ED107C" w:rsidRPr="003C36B5" w:rsidRDefault="003C36B5" w:rsidP="003C36B5">
            <w:pPr>
              <w:pStyle w:val="Compact"/>
              <w:spacing w:before="20" w:after="20"/>
              <w:rPr>
                <w:sz w:val="16"/>
              </w:rPr>
            </w:pPr>
            <w:r w:rsidRPr="003C36B5">
              <w:rPr>
                <w:sz w:val="16"/>
              </w:rPr>
              <w:t>Résistance au changement des squads</w:t>
            </w:r>
          </w:p>
        </w:tc>
        <w:tc>
          <w:tcPr>
            <w:tcW w:w="742" w:type="dxa"/>
            <w:shd w:val="clear" w:color="auto" w:fill="auto"/>
          </w:tcPr>
          <w:p w:rsidR="00ED107C" w:rsidRPr="003C36B5" w:rsidRDefault="003C36B5" w:rsidP="003C36B5">
            <w:pPr>
              <w:pStyle w:val="Compact"/>
              <w:spacing w:before="20" w:after="20"/>
              <w:rPr>
                <w:sz w:val="16"/>
              </w:rPr>
            </w:pPr>
            <w:r w:rsidRPr="003C36B5">
              <w:rPr>
                <w:sz w:val="16"/>
              </w:rPr>
              <w:t>Élevée</w:t>
            </w:r>
          </w:p>
        </w:tc>
        <w:tc>
          <w:tcPr>
            <w:tcW w:w="742" w:type="dxa"/>
            <w:shd w:val="clear" w:color="auto" w:fill="auto"/>
          </w:tcPr>
          <w:p w:rsidR="00ED107C" w:rsidRPr="003C36B5" w:rsidRDefault="003C36B5" w:rsidP="003C36B5">
            <w:pPr>
              <w:pStyle w:val="Compact"/>
              <w:spacing w:before="20" w:after="20"/>
              <w:rPr>
                <w:sz w:val="16"/>
              </w:rPr>
            </w:pPr>
            <w:r w:rsidRPr="003C36B5">
              <w:rPr>
                <w:sz w:val="16"/>
              </w:rPr>
              <w:t>Moyen</w:t>
            </w:r>
          </w:p>
        </w:tc>
        <w:tc>
          <w:tcPr>
            <w:tcW w:w="3630" w:type="dxa"/>
            <w:shd w:val="clear" w:color="auto" w:fill="auto"/>
          </w:tcPr>
          <w:p w:rsidR="00ED107C" w:rsidRPr="003C36B5" w:rsidRDefault="003C36B5" w:rsidP="003C36B5">
            <w:pPr>
              <w:pStyle w:val="Compact"/>
              <w:spacing w:before="20" w:after="20"/>
              <w:rPr>
                <w:sz w:val="16"/>
              </w:rPr>
            </w:pPr>
            <w:r w:rsidRPr="003C36B5">
              <w:rPr>
                <w:sz w:val="16"/>
              </w:rPr>
              <w:t>Ateliers dès M1, stewards issus des équipes, quick wins publiés</w:t>
            </w:r>
          </w:p>
        </w:tc>
      </w:tr>
      <w:tr w:rsidR="00ED107C" w:rsidRPr="003C36B5" w:rsidTr="003C36B5">
        <w:tc>
          <w:tcPr>
            <w:tcW w:w="2805" w:type="dxa"/>
            <w:shd w:val="clear" w:color="auto" w:fill="auto"/>
          </w:tcPr>
          <w:p w:rsidR="00ED107C" w:rsidRPr="003C36B5" w:rsidRDefault="003C36B5" w:rsidP="003C36B5">
            <w:pPr>
              <w:pStyle w:val="Compact"/>
              <w:spacing w:before="20" w:after="20"/>
              <w:rPr>
                <w:sz w:val="16"/>
              </w:rPr>
            </w:pPr>
            <w:r w:rsidRPr="003C36B5">
              <w:rPr>
                <w:sz w:val="16"/>
              </w:rPr>
              <w:t>Qualité non améliorée</w:t>
            </w:r>
          </w:p>
        </w:tc>
        <w:tc>
          <w:tcPr>
            <w:tcW w:w="742" w:type="dxa"/>
            <w:shd w:val="clear" w:color="auto" w:fill="auto"/>
          </w:tcPr>
          <w:p w:rsidR="00ED107C" w:rsidRPr="003C36B5" w:rsidRDefault="003C36B5" w:rsidP="003C36B5">
            <w:pPr>
              <w:pStyle w:val="Compact"/>
              <w:spacing w:before="20" w:after="20"/>
              <w:rPr>
                <w:sz w:val="16"/>
              </w:rPr>
            </w:pPr>
            <w:r w:rsidRPr="003C36B5">
              <w:rPr>
                <w:sz w:val="16"/>
              </w:rPr>
              <w:t>Faible</w:t>
            </w:r>
          </w:p>
        </w:tc>
        <w:tc>
          <w:tcPr>
            <w:tcW w:w="742" w:type="dxa"/>
            <w:shd w:val="clear" w:color="auto" w:fill="auto"/>
          </w:tcPr>
          <w:p w:rsidR="00ED107C" w:rsidRPr="003C36B5" w:rsidRDefault="003C36B5" w:rsidP="003C36B5">
            <w:pPr>
              <w:pStyle w:val="Compact"/>
              <w:spacing w:before="20" w:after="20"/>
              <w:rPr>
                <w:sz w:val="16"/>
              </w:rPr>
            </w:pPr>
            <w:r w:rsidRPr="003C36B5">
              <w:rPr>
                <w:sz w:val="16"/>
              </w:rPr>
              <w:t>Élevé</w:t>
            </w:r>
          </w:p>
        </w:tc>
        <w:tc>
          <w:tcPr>
            <w:tcW w:w="3630" w:type="dxa"/>
            <w:shd w:val="clear" w:color="auto" w:fill="auto"/>
          </w:tcPr>
          <w:p w:rsidR="00ED107C" w:rsidRPr="003C36B5" w:rsidRDefault="003C36B5" w:rsidP="003C36B5">
            <w:pPr>
              <w:pStyle w:val="Compact"/>
              <w:spacing w:before="20" w:after="20"/>
              <w:rPr>
                <w:sz w:val="16"/>
              </w:rPr>
            </w:pPr>
            <w:r w:rsidRPr="003C36B5">
              <w:rPr>
                <w:sz w:val="16"/>
              </w:rPr>
              <w:t>Monitoring continu, revue à mi-parcours</w:t>
            </w:r>
          </w:p>
        </w:tc>
      </w:tr>
      <w:tr w:rsidR="00ED107C" w:rsidRPr="003C36B5" w:rsidTr="003C36B5">
        <w:tc>
          <w:tcPr>
            <w:tcW w:w="2805" w:type="dxa"/>
            <w:shd w:val="clear" w:color="auto" w:fill="auto"/>
          </w:tcPr>
          <w:p w:rsidR="00ED107C" w:rsidRPr="003C36B5" w:rsidRDefault="003C36B5" w:rsidP="003C36B5">
            <w:pPr>
              <w:pStyle w:val="Compact"/>
              <w:spacing w:before="20" w:after="20"/>
              <w:rPr>
                <w:sz w:val="16"/>
              </w:rPr>
            </w:pPr>
            <w:r w:rsidRPr="003C36B5">
              <w:rPr>
                <w:sz w:val="16"/>
              </w:rPr>
              <w:t>Intégration technique (catalogue ↔ BigQuery, pipeline d’effacement)</w:t>
            </w:r>
          </w:p>
        </w:tc>
        <w:tc>
          <w:tcPr>
            <w:tcW w:w="742" w:type="dxa"/>
            <w:shd w:val="clear" w:color="auto" w:fill="auto"/>
          </w:tcPr>
          <w:p w:rsidR="00ED107C" w:rsidRPr="003C36B5" w:rsidRDefault="003C36B5" w:rsidP="003C36B5">
            <w:pPr>
              <w:pStyle w:val="Compact"/>
              <w:spacing w:before="20" w:after="20"/>
              <w:rPr>
                <w:sz w:val="16"/>
              </w:rPr>
            </w:pPr>
            <w:r w:rsidRPr="003C36B5">
              <w:rPr>
                <w:sz w:val="16"/>
              </w:rPr>
              <w:t>Moyenne</w:t>
            </w:r>
          </w:p>
        </w:tc>
        <w:tc>
          <w:tcPr>
            <w:tcW w:w="742" w:type="dxa"/>
            <w:shd w:val="clear" w:color="auto" w:fill="auto"/>
          </w:tcPr>
          <w:p w:rsidR="00ED107C" w:rsidRPr="003C36B5" w:rsidRDefault="003C36B5" w:rsidP="003C36B5">
            <w:pPr>
              <w:pStyle w:val="Compact"/>
              <w:spacing w:before="20" w:after="20"/>
              <w:rPr>
                <w:sz w:val="16"/>
              </w:rPr>
            </w:pPr>
            <w:r w:rsidRPr="003C36B5">
              <w:rPr>
                <w:sz w:val="16"/>
              </w:rPr>
              <w:t>Élevé</w:t>
            </w:r>
          </w:p>
        </w:tc>
        <w:tc>
          <w:tcPr>
            <w:tcW w:w="3630" w:type="dxa"/>
            <w:shd w:val="clear" w:color="auto" w:fill="auto"/>
          </w:tcPr>
          <w:p w:rsidR="00ED107C" w:rsidRPr="003C36B5" w:rsidRDefault="003C36B5" w:rsidP="003C36B5">
            <w:pPr>
              <w:pStyle w:val="Compact"/>
              <w:spacing w:before="20" w:after="20"/>
              <w:rPr>
                <w:sz w:val="16"/>
              </w:rPr>
            </w:pPr>
            <w:r w:rsidRPr="003C36B5">
              <w:rPr>
                <w:sz w:val="16"/>
              </w:rPr>
              <w:t>Engineering impliqué dès M1, POC</w:t>
            </w:r>
            <w:r w:rsidRPr="003C36B5">
              <w:rPr>
                <w:sz w:val="16"/>
              </w:rPr>
              <w:t xml:space="preserve"> en phase 1</w:t>
            </w:r>
          </w:p>
        </w:tc>
      </w:tr>
      <w:tr w:rsidR="00ED107C" w:rsidRPr="003C36B5" w:rsidTr="003C36B5">
        <w:tc>
          <w:tcPr>
            <w:tcW w:w="2805" w:type="dxa"/>
            <w:shd w:val="clear" w:color="auto" w:fill="auto"/>
          </w:tcPr>
          <w:p w:rsidR="00ED107C" w:rsidRPr="003C36B5" w:rsidRDefault="003C36B5" w:rsidP="003C36B5">
            <w:pPr>
              <w:pStyle w:val="Compact"/>
              <w:spacing w:before="20" w:after="20"/>
              <w:rPr>
                <w:sz w:val="16"/>
              </w:rPr>
            </w:pPr>
            <w:r w:rsidRPr="003C36B5">
              <w:rPr>
                <w:sz w:val="16"/>
              </w:rPr>
              <w:t>Périmètre qui dérive</w:t>
            </w:r>
          </w:p>
        </w:tc>
        <w:tc>
          <w:tcPr>
            <w:tcW w:w="742" w:type="dxa"/>
            <w:shd w:val="clear" w:color="auto" w:fill="auto"/>
          </w:tcPr>
          <w:p w:rsidR="00ED107C" w:rsidRPr="003C36B5" w:rsidRDefault="003C36B5" w:rsidP="003C36B5">
            <w:pPr>
              <w:pStyle w:val="Compact"/>
              <w:spacing w:before="20" w:after="20"/>
              <w:rPr>
                <w:sz w:val="16"/>
              </w:rPr>
            </w:pPr>
            <w:r w:rsidRPr="003C36B5">
              <w:rPr>
                <w:sz w:val="16"/>
              </w:rPr>
              <w:t>Moyenne</w:t>
            </w:r>
          </w:p>
        </w:tc>
        <w:tc>
          <w:tcPr>
            <w:tcW w:w="742" w:type="dxa"/>
            <w:shd w:val="clear" w:color="auto" w:fill="auto"/>
          </w:tcPr>
          <w:p w:rsidR="00ED107C" w:rsidRPr="003C36B5" w:rsidRDefault="003C36B5" w:rsidP="003C36B5">
            <w:pPr>
              <w:pStyle w:val="Compact"/>
              <w:spacing w:before="20" w:after="20"/>
              <w:rPr>
                <w:sz w:val="16"/>
              </w:rPr>
            </w:pPr>
            <w:r w:rsidRPr="003C36B5">
              <w:rPr>
                <w:sz w:val="16"/>
              </w:rPr>
              <w:t>Moyen</w:t>
            </w:r>
          </w:p>
        </w:tc>
        <w:tc>
          <w:tcPr>
            <w:tcW w:w="3630" w:type="dxa"/>
            <w:shd w:val="clear" w:color="auto" w:fill="auto"/>
          </w:tcPr>
          <w:p w:rsidR="00ED107C" w:rsidRPr="003C36B5" w:rsidRDefault="003C36B5" w:rsidP="003C36B5">
            <w:pPr>
              <w:pStyle w:val="Compact"/>
              <w:spacing w:before="20" w:after="20"/>
              <w:rPr>
                <w:sz w:val="16"/>
              </w:rPr>
            </w:pPr>
            <w:r w:rsidRPr="003C36B5">
              <w:rPr>
                <w:sz w:val="16"/>
              </w:rPr>
              <w:t>Périmètre UE borné, changements validés par le Committee</w:t>
            </w:r>
          </w:p>
        </w:tc>
      </w:tr>
    </w:tbl>
    <w:p w:rsidR="00ED107C" w:rsidRDefault="003C36B5">
      <w:pPr>
        <w:pStyle w:val="Corpsdetexte"/>
      </w:pPr>
      <w:r>
        <w:rPr>
          <w:b/>
          <w:bCs/>
        </w:rPr>
        <w:t>Formation et conduite du changement.</w:t>
      </w:r>
      <w:r>
        <w:t xml:space="preserve"> </w:t>
      </w:r>
      <w:r>
        <w:t>Ateliers pratiques pour les équipes User Data (catalogue, règles qualité, droits des personnes) ; documentation et helpdesk du CoE ; canal de feedback hebdomadaire → ajustements ; résultats du pilote publiés en interne comme quick wins.</w:t>
      </w:r>
    </w:p>
    <w:p w:rsidR="00ED107C" w:rsidRDefault="003C36B5">
      <w:pPr>
        <w:pStyle w:val="Corpsdetexte"/>
      </w:pPr>
      <w:r>
        <w:rPr>
          <w:b/>
          <w:bCs/>
        </w:rPr>
        <w:t>Évaluation et lesso</w:t>
      </w:r>
      <w:r>
        <w:rPr>
          <w:b/>
          <w:bCs/>
        </w:rPr>
        <w:t>ns learned.</w:t>
      </w:r>
      <w:r>
        <w:t xml:space="preserve"> Go/No-Go en M6 sur les KPIs ; rapport de retour d’expérience (ce qui a marché, blocages, temps réel vs estimé) ; feedback structuré des stakeholders ; ajustement de la politique et du plan de généralisation avant la phase 3.</w:t>
      </w:r>
    </w:p>
    <w:p w:rsidR="00ED107C" w:rsidRDefault="003C36B5">
      <w:pPr>
        <w:pStyle w:val="Titre2"/>
      </w:pPr>
      <w:bookmarkStart w:id="41" w:name="X3e4da6b0e937452b04c81b4e871c043d29d64bc"/>
      <w:bookmarkStart w:id="42" w:name="_Toc240702672"/>
      <w:bookmarkEnd w:id="39"/>
      <w:r>
        <w:t>5. Ressources et bu</w:t>
      </w:r>
      <w:r>
        <w:t>dget (ordres de grandeur, hypothèses à affiner en phase 1)</w:t>
      </w:r>
      <w:bookmarkEnd w:id="42"/>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5420"/>
        <w:gridCol w:w="3251"/>
        <w:gridCol w:w="1517"/>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4212"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Poste</w:t>
            </w:r>
          </w:p>
        </w:tc>
        <w:tc>
          <w:tcPr>
            <w:tcW w:w="2527"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Hypothèse</w:t>
            </w:r>
          </w:p>
        </w:tc>
        <w:tc>
          <w:tcPr>
            <w:tcW w:w="1179"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18 mois</w:t>
            </w:r>
          </w:p>
        </w:tc>
      </w:tr>
      <w:tr w:rsidR="00ED107C" w:rsidRPr="003C36B5" w:rsidTr="003C36B5">
        <w:tc>
          <w:tcPr>
            <w:tcW w:w="4212" w:type="dxa"/>
            <w:shd w:val="clear" w:color="auto" w:fill="auto"/>
          </w:tcPr>
          <w:p w:rsidR="00ED107C" w:rsidRPr="003C36B5" w:rsidRDefault="003C36B5" w:rsidP="003C36B5">
            <w:pPr>
              <w:pStyle w:val="Compact"/>
              <w:spacing w:before="20" w:after="20"/>
              <w:rPr>
                <w:sz w:val="16"/>
              </w:rPr>
            </w:pPr>
            <w:r w:rsidRPr="003C36B5">
              <w:rPr>
                <w:sz w:val="16"/>
              </w:rPr>
              <w:t>Personnel CoE (5 ETP) + Privacy Team (3 ETP) + 5 stewards à 50 % (2,5 ETP)</w:t>
            </w:r>
          </w:p>
        </w:tc>
        <w:tc>
          <w:tcPr>
            <w:tcW w:w="2527" w:type="dxa"/>
            <w:shd w:val="clear" w:color="auto" w:fill="auto"/>
          </w:tcPr>
          <w:p w:rsidR="00ED107C" w:rsidRPr="003C36B5" w:rsidRDefault="003C36B5" w:rsidP="003C36B5">
            <w:pPr>
              <w:pStyle w:val="Compact"/>
              <w:spacing w:before="20" w:after="20"/>
              <w:rPr>
                <w:sz w:val="16"/>
              </w:rPr>
            </w:pPr>
            <w:r w:rsidRPr="003C36B5">
              <w:rPr>
                <w:sz w:val="16"/>
              </w:rPr>
              <w:t>≈ 10,5 ETP × 120 k€ chargés / an</w:t>
            </w:r>
          </w:p>
        </w:tc>
        <w:tc>
          <w:tcPr>
            <w:tcW w:w="1179" w:type="dxa"/>
            <w:shd w:val="clear" w:color="auto" w:fill="auto"/>
          </w:tcPr>
          <w:p w:rsidR="00ED107C" w:rsidRPr="003C36B5" w:rsidRDefault="003C36B5" w:rsidP="003C36B5">
            <w:pPr>
              <w:pStyle w:val="Compact"/>
              <w:spacing w:before="20" w:after="20"/>
              <w:rPr>
                <w:sz w:val="16"/>
              </w:rPr>
            </w:pPr>
            <w:r w:rsidRPr="003C36B5">
              <w:rPr>
                <w:sz w:val="16"/>
              </w:rPr>
              <w:t>≈ 1,9 M€</w:t>
            </w:r>
          </w:p>
        </w:tc>
      </w:tr>
      <w:tr w:rsidR="00ED107C" w:rsidRPr="003C36B5" w:rsidTr="003C36B5">
        <w:tc>
          <w:tcPr>
            <w:tcW w:w="4212" w:type="dxa"/>
            <w:shd w:val="clear" w:color="auto" w:fill="auto"/>
          </w:tcPr>
          <w:p w:rsidR="00ED107C" w:rsidRPr="003C36B5" w:rsidRDefault="003C36B5" w:rsidP="003C36B5">
            <w:pPr>
              <w:pStyle w:val="Compact"/>
              <w:spacing w:before="20" w:after="20"/>
              <w:rPr>
                <w:sz w:val="16"/>
              </w:rPr>
            </w:pPr>
            <w:r w:rsidRPr="003C36B5">
              <w:rPr>
                <w:sz w:val="16"/>
              </w:rPr>
              <w:t xml:space="preserve">Licences (catalogue, consentement, SIEM, chiffrement, </w:t>
            </w:r>
            <w:r w:rsidRPr="003C36B5">
              <w:rPr>
                <w:sz w:val="16"/>
              </w:rPr>
              <w:t>observabilité)</w:t>
            </w:r>
          </w:p>
        </w:tc>
        <w:tc>
          <w:tcPr>
            <w:tcW w:w="2527" w:type="dxa"/>
            <w:shd w:val="clear" w:color="auto" w:fill="auto"/>
          </w:tcPr>
          <w:p w:rsidR="00ED107C" w:rsidRPr="003C36B5" w:rsidRDefault="003C36B5" w:rsidP="003C36B5">
            <w:pPr>
              <w:pStyle w:val="Compact"/>
              <w:spacing w:before="20" w:after="20"/>
              <w:rPr>
                <w:sz w:val="16"/>
              </w:rPr>
            </w:pPr>
            <w:r w:rsidRPr="003C36B5">
              <w:rPr>
                <w:sz w:val="16"/>
              </w:rPr>
              <w:t>1,5 à 2,5 M€ / an</w:t>
            </w:r>
          </w:p>
        </w:tc>
        <w:tc>
          <w:tcPr>
            <w:tcW w:w="1179" w:type="dxa"/>
            <w:shd w:val="clear" w:color="auto" w:fill="auto"/>
          </w:tcPr>
          <w:p w:rsidR="00ED107C" w:rsidRPr="003C36B5" w:rsidRDefault="003C36B5" w:rsidP="003C36B5">
            <w:pPr>
              <w:pStyle w:val="Compact"/>
              <w:spacing w:before="20" w:after="20"/>
              <w:rPr>
                <w:sz w:val="16"/>
              </w:rPr>
            </w:pPr>
            <w:r w:rsidRPr="003C36B5">
              <w:rPr>
                <w:sz w:val="16"/>
              </w:rPr>
              <w:t>≈ 3 M€</w:t>
            </w:r>
          </w:p>
        </w:tc>
      </w:tr>
      <w:tr w:rsidR="00ED107C" w:rsidRPr="003C36B5" w:rsidTr="003C36B5">
        <w:tc>
          <w:tcPr>
            <w:tcW w:w="4212" w:type="dxa"/>
            <w:shd w:val="clear" w:color="auto" w:fill="auto"/>
          </w:tcPr>
          <w:p w:rsidR="00ED107C" w:rsidRPr="003C36B5" w:rsidRDefault="003C36B5" w:rsidP="003C36B5">
            <w:pPr>
              <w:pStyle w:val="Compact"/>
              <w:spacing w:before="20" w:after="20"/>
              <w:rPr>
                <w:sz w:val="16"/>
              </w:rPr>
            </w:pPr>
            <w:r w:rsidRPr="003C36B5">
              <w:rPr>
                <w:sz w:val="16"/>
              </w:rPr>
              <w:t>Intégration et conseil (setup, pipelines d’effacement, migration)</w:t>
            </w:r>
          </w:p>
        </w:tc>
        <w:tc>
          <w:tcPr>
            <w:tcW w:w="2527" w:type="dxa"/>
            <w:shd w:val="clear" w:color="auto" w:fill="auto"/>
          </w:tcPr>
          <w:p w:rsidR="00ED107C" w:rsidRPr="003C36B5" w:rsidRDefault="003C36B5" w:rsidP="003C36B5">
            <w:pPr>
              <w:pStyle w:val="Compact"/>
              <w:spacing w:before="20" w:after="20"/>
              <w:rPr>
                <w:sz w:val="16"/>
              </w:rPr>
            </w:pPr>
            <w:r w:rsidRPr="003C36B5">
              <w:rPr>
                <w:sz w:val="16"/>
              </w:rPr>
              <w:t>Forfait</w:t>
            </w:r>
          </w:p>
        </w:tc>
        <w:tc>
          <w:tcPr>
            <w:tcW w:w="1179" w:type="dxa"/>
            <w:shd w:val="clear" w:color="auto" w:fill="auto"/>
          </w:tcPr>
          <w:p w:rsidR="00ED107C" w:rsidRPr="003C36B5" w:rsidRDefault="003C36B5" w:rsidP="003C36B5">
            <w:pPr>
              <w:pStyle w:val="Compact"/>
              <w:spacing w:before="20" w:after="20"/>
              <w:rPr>
                <w:sz w:val="16"/>
              </w:rPr>
            </w:pPr>
            <w:r w:rsidRPr="003C36B5">
              <w:rPr>
                <w:sz w:val="16"/>
              </w:rPr>
              <w:t>0,5 à 1 M€</w:t>
            </w:r>
          </w:p>
        </w:tc>
      </w:tr>
      <w:tr w:rsidR="00ED107C" w:rsidRPr="003C36B5" w:rsidTr="003C36B5">
        <w:tc>
          <w:tcPr>
            <w:tcW w:w="4212" w:type="dxa"/>
            <w:shd w:val="clear" w:color="auto" w:fill="auto"/>
          </w:tcPr>
          <w:p w:rsidR="00ED107C" w:rsidRPr="003C36B5" w:rsidRDefault="003C36B5" w:rsidP="003C36B5">
            <w:pPr>
              <w:pStyle w:val="Compact"/>
              <w:spacing w:before="20" w:after="20"/>
              <w:rPr>
                <w:sz w:val="16"/>
              </w:rPr>
            </w:pPr>
            <w:r w:rsidRPr="003C36B5">
              <w:rPr>
                <w:sz w:val="16"/>
              </w:rPr>
              <w:t>Formation et communication</w:t>
            </w:r>
          </w:p>
        </w:tc>
        <w:tc>
          <w:tcPr>
            <w:tcW w:w="2527" w:type="dxa"/>
            <w:shd w:val="clear" w:color="auto" w:fill="auto"/>
          </w:tcPr>
          <w:p w:rsidR="00ED107C" w:rsidRPr="003C36B5" w:rsidRDefault="003C36B5" w:rsidP="003C36B5">
            <w:pPr>
              <w:pStyle w:val="Compact"/>
              <w:spacing w:before="20" w:after="20"/>
              <w:rPr>
                <w:sz w:val="16"/>
              </w:rPr>
            </w:pPr>
            <w:r w:rsidRPr="003C36B5">
              <w:rPr>
                <w:sz w:val="16"/>
              </w:rPr>
              <w:t>E-learning, ateliers, supports</w:t>
            </w:r>
          </w:p>
        </w:tc>
        <w:tc>
          <w:tcPr>
            <w:tcW w:w="1179" w:type="dxa"/>
            <w:shd w:val="clear" w:color="auto" w:fill="auto"/>
          </w:tcPr>
          <w:p w:rsidR="00ED107C" w:rsidRPr="003C36B5" w:rsidRDefault="003C36B5" w:rsidP="003C36B5">
            <w:pPr>
              <w:pStyle w:val="Compact"/>
              <w:spacing w:before="20" w:after="20"/>
              <w:rPr>
                <w:sz w:val="16"/>
              </w:rPr>
            </w:pPr>
            <w:r w:rsidRPr="003C36B5">
              <w:rPr>
                <w:sz w:val="16"/>
              </w:rPr>
              <w:t>≈ 0,3 M€</w:t>
            </w:r>
          </w:p>
        </w:tc>
      </w:tr>
      <w:tr w:rsidR="00ED107C" w:rsidRPr="003C36B5" w:rsidTr="003C36B5">
        <w:tc>
          <w:tcPr>
            <w:tcW w:w="4212" w:type="dxa"/>
            <w:shd w:val="clear" w:color="auto" w:fill="auto"/>
          </w:tcPr>
          <w:p w:rsidR="00ED107C" w:rsidRPr="003C36B5" w:rsidRDefault="003C36B5" w:rsidP="003C36B5">
            <w:pPr>
              <w:pStyle w:val="Compact"/>
              <w:spacing w:before="20" w:after="20"/>
              <w:rPr>
                <w:sz w:val="16"/>
              </w:rPr>
            </w:pPr>
            <w:r w:rsidRPr="003C36B5">
              <w:rPr>
                <w:b/>
                <w:bCs/>
                <w:sz w:val="16"/>
              </w:rPr>
              <w:t>Total programme</w:t>
            </w:r>
          </w:p>
        </w:tc>
        <w:tc>
          <w:tcPr>
            <w:tcW w:w="2527" w:type="dxa"/>
            <w:shd w:val="clear" w:color="auto" w:fill="auto"/>
          </w:tcPr>
          <w:p w:rsidR="00ED107C" w:rsidRPr="003C36B5" w:rsidRDefault="00ED107C" w:rsidP="003C36B5">
            <w:pPr>
              <w:pStyle w:val="Compact"/>
              <w:spacing w:before="20" w:after="20"/>
              <w:rPr>
                <w:sz w:val="16"/>
              </w:rPr>
            </w:pPr>
          </w:p>
        </w:tc>
        <w:tc>
          <w:tcPr>
            <w:tcW w:w="1179" w:type="dxa"/>
            <w:shd w:val="clear" w:color="auto" w:fill="auto"/>
          </w:tcPr>
          <w:p w:rsidR="00ED107C" w:rsidRPr="003C36B5" w:rsidRDefault="003C36B5" w:rsidP="003C36B5">
            <w:pPr>
              <w:pStyle w:val="Compact"/>
              <w:spacing w:before="20" w:after="20"/>
              <w:rPr>
                <w:sz w:val="16"/>
              </w:rPr>
            </w:pPr>
            <w:r w:rsidRPr="003C36B5">
              <w:rPr>
                <w:b/>
                <w:bCs/>
                <w:sz w:val="16"/>
              </w:rPr>
              <w:t>≈ 6 à 7 M€ sur 18 mois</w:t>
            </w:r>
          </w:p>
        </w:tc>
      </w:tr>
    </w:tbl>
    <w:p w:rsidR="00ED107C" w:rsidRDefault="003C36B5">
      <w:pPr>
        <w:pStyle w:val="Corpsdetexte"/>
      </w:pPr>
      <w:r>
        <w:t xml:space="preserve">À comparer à l’exposition maximale GDPR (4 % de 13,25 Md€ ≈ </w:t>
      </w:r>
      <w:r>
        <w:rPr>
          <w:b/>
          <w:bCs/>
        </w:rPr>
        <w:t>530 M€</w:t>
      </w:r>
      <w:r>
        <w:t>), à la sanction déjà subie en 2023 (≈ 5 M€) et au gain d’efficacité : à titre d’hypothèse, 500 analystes et data scientists gagnant 2 h par semaine de recherche de données représentent ≈ 50</w:t>
      </w:r>
      <w:r>
        <w:t xml:space="preserve"> 000 h/an, soit ≈ 25 ETP (≈ 3 M€/an).</w:t>
      </w:r>
    </w:p>
    <w:p w:rsidR="00ED107C" w:rsidRDefault="003C36B5">
      <w:pPr>
        <w:pStyle w:val="Titre2"/>
      </w:pPr>
      <w:bookmarkStart w:id="43" w:name="kpis-de-suivi-du-programme"/>
      <w:bookmarkStart w:id="44" w:name="_Toc240702673"/>
      <w:bookmarkEnd w:id="41"/>
      <w:r>
        <w:t>6. KPIs de suivi du programme</w:t>
      </w:r>
      <w:bookmarkEnd w:id="44"/>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5194"/>
        <w:gridCol w:w="2997"/>
        <w:gridCol w:w="1997"/>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4037"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KPI</w:t>
            </w:r>
          </w:p>
        </w:tc>
        <w:tc>
          <w:tcPr>
            <w:tcW w:w="2329"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Cible</w:t>
            </w:r>
          </w:p>
        </w:tc>
        <w:tc>
          <w:tcPr>
            <w:tcW w:w="1552"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Owner</w:t>
            </w:r>
          </w:p>
        </w:tc>
      </w:tr>
      <w:tr w:rsidR="00ED107C" w:rsidRPr="003C36B5" w:rsidTr="003C36B5">
        <w:tc>
          <w:tcPr>
            <w:tcW w:w="4037" w:type="dxa"/>
            <w:shd w:val="clear" w:color="auto" w:fill="auto"/>
          </w:tcPr>
          <w:p w:rsidR="00ED107C" w:rsidRPr="003C36B5" w:rsidRDefault="003C36B5" w:rsidP="003C36B5">
            <w:pPr>
              <w:pStyle w:val="Compact"/>
              <w:spacing w:before="20" w:after="20"/>
              <w:rPr>
                <w:sz w:val="16"/>
              </w:rPr>
            </w:pPr>
            <w:r w:rsidRPr="003C36B5">
              <w:rPr>
                <w:sz w:val="16"/>
              </w:rPr>
              <w:t>Complétude des datasets critiques (tous domaines)</w:t>
            </w:r>
          </w:p>
        </w:tc>
        <w:tc>
          <w:tcPr>
            <w:tcW w:w="2329" w:type="dxa"/>
            <w:shd w:val="clear" w:color="auto" w:fill="auto"/>
          </w:tcPr>
          <w:p w:rsidR="00ED107C" w:rsidRPr="003C36B5" w:rsidRDefault="003C36B5" w:rsidP="003C36B5">
            <w:pPr>
              <w:pStyle w:val="Compact"/>
              <w:spacing w:before="20" w:after="20"/>
              <w:rPr>
                <w:sz w:val="16"/>
              </w:rPr>
            </w:pPr>
            <w:r w:rsidRPr="003C36B5">
              <w:rPr>
                <w:sz w:val="16"/>
              </w:rPr>
              <w:t>&gt; 98 % (mensuel)</w:t>
            </w:r>
          </w:p>
        </w:tc>
        <w:tc>
          <w:tcPr>
            <w:tcW w:w="1552" w:type="dxa"/>
            <w:shd w:val="clear" w:color="auto" w:fill="auto"/>
          </w:tcPr>
          <w:p w:rsidR="00ED107C" w:rsidRPr="003C36B5" w:rsidRDefault="003C36B5" w:rsidP="003C36B5">
            <w:pPr>
              <w:pStyle w:val="Compact"/>
              <w:spacing w:before="20" w:after="20"/>
              <w:rPr>
                <w:sz w:val="16"/>
              </w:rPr>
            </w:pPr>
            <w:r w:rsidRPr="003C36B5">
              <w:rPr>
                <w:sz w:val="16"/>
              </w:rPr>
              <w:t>Data Stewards</w:t>
            </w:r>
          </w:p>
        </w:tc>
      </w:tr>
      <w:tr w:rsidR="00ED107C" w:rsidRPr="003C36B5" w:rsidTr="003C36B5">
        <w:tc>
          <w:tcPr>
            <w:tcW w:w="4037" w:type="dxa"/>
            <w:shd w:val="clear" w:color="auto" w:fill="auto"/>
          </w:tcPr>
          <w:p w:rsidR="00ED107C" w:rsidRPr="003C36B5" w:rsidRDefault="003C36B5" w:rsidP="003C36B5">
            <w:pPr>
              <w:pStyle w:val="Compact"/>
              <w:spacing w:before="20" w:after="20"/>
              <w:rPr>
                <w:sz w:val="16"/>
              </w:rPr>
            </w:pPr>
            <w:r w:rsidRPr="003C36B5">
              <w:rPr>
                <w:sz w:val="16"/>
              </w:rPr>
              <w:t>Demandes des personnes traitées dans le délai légal ; notification de violation</w:t>
            </w:r>
          </w:p>
        </w:tc>
        <w:tc>
          <w:tcPr>
            <w:tcW w:w="2329" w:type="dxa"/>
            <w:shd w:val="clear" w:color="auto" w:fill="auto"/>
          </w:tcPr>
          <w:p w:rsidR="00ED107C" w:rsidRPr="003C36B5" w:rsidRDefault="003C36B5" w:rsidP="003C36B5">
            <w:pPr>
              <w:pStyle w:val="Compact"/>
              <w:spacing w:before="20" w:after="20"/>
              <w:rPr>
                <w:sz w:val="16"/>
              </w:rPr>
            </w:pPr>
            <w:r w:rsidRPr="003C36B5">
              <w:rPr>
                <w:sz w:val="16"/>
              </w:rPr>
              <w:t>100 %, effacement &lt; 30 j ; &lt; 72 h</w:t>
            </w:r>
          </w:p>
        </w:tc>
        <w:tc>
          <w:tcPr>
            <w:tcW w:w="1552" w:type="dxa"/>
            <w:shd w:val="clear" w:color="auto" w:fill="auto"/>
          </w:tcPr>
          <w:p w:rsidR="00ED107C" w:rsidRPr="003C36B5" w:rsidRDefault="003C36B5" w:rsidP="003C36B5">
            <w:pPr>
              <w:pStyle w:val="Compact"/>
              <w:spacing w:before="20" w:after="20"/>
              <w:rPr>
                <w:sz w:val="16"/>
              </w:rPr>
            </w:pPr>
            <w:r w:rsidRPr="003C36B5">
              <w:rPr>
                <w:sz w:val="16"/>
              </w:rPr>
              <w:t>DPO / Privacy Team</w:t>
            </w:r>
          </w:p>
        </w:tc>
      </w:tr>
      <w:tr w:rsidR="00ED107C" w:rsidRPr="003C36B5" w:rsidTr="003C36B5">
        <w:tc>
          <w:tcPr>
            <w:tcW w:w="4037" w:type="dxa"/>
            <w:shd w:val="clear" w:color="auto" w:fill="auto"/>
          </w:tcPr>
          <w:p w:rsidR="00ED107C" w:rsidRPr="003C36B5" w:rsidRDefault="003C36B5" w:rsidP="003C36B5">
            <w:pPr>
              <w:pStyle w:val="Compact"/>
              <w:spacing w:before="20" w:after="20"/>
              <w:rPr>
                <w:sz w:val="16"/>
              </w:rPr>
            </w:pPr>
            <w:r w:rsidRPr="003C36B5">
              <w:rPr>
                <w:sz w:val="16"/>
              </w:rPr>
              <w:t>Traitements avec base légale documentée</w:t>
            </w:r>
          </w:p>
        </w:tc>
        <w:tc>
          <w:tcPr>
            <w:tcW w:w="2329" w:type="dxa"/>
            <w:shd w:val="clear" w:color="auto" w:fill="auto"/>
          </w:tcPr>
          <w:p w:rsidR="00ED107C" w:rsidRPr="003C36B5" w:rsidRDefault="003C36B5" w:rsidP="003C36B5">
            <w:pPr>
              <w:pStyle w:val="Compact"/>
              <w:spacing w:before="20" w:after="20"/>
              <w:rPr>
                <w:sz w:val="16"/>
              </w:rPr>
            </w:pPr>
            <w:r w:rsidRPr="003C36B5">
              <w:rPr>
                <w:sz w:val="16"/>
              </w:rPr>
              <w:t>100 % (trimestriel)</w:t>
            </w:r>
          </w:p>
        </w:tc>
        <w:tc>
          <w:tcPr>
            <w:tcW w:w="1552" w:type="dxa"/>
            <w:shd w:val="clear" w:color="auto" w:fill="auto"/>
          </w:tcPr>
          <w:p w:rsidR="00ED107C" w:rsidRPr="003C36B5" w:rsidRDefault="003C36B5" w:rsidP="003C36B5">
            <w:pPr>
              <w:pStyle w:val="Compact"/>
              <w:spacing w:before="20" w:after="20"/>
              <w:rPr>
                <w:sz w:val="16"/>
              </w:rPr>
            </w:pPr>
            <w:r w:rsidRPr="003C36B5">
              <w:rPr>
                <w:sz w:val="16"/>
              </w:rPr>
              <w:t>DPO</w:t>
            </w:r>
          </w:p>
        </w:tc>
      </w:tr>
      <w:tr w:rsidR="00ED107C" w:rsidRPr="003C36B5" w:rsidTr="003C36B5">
        <w:tc>
          <w:tcPr>
            <w:tcW w:w="4037" w:type="dxa"/>
            <w:shd w:val="clear" w:color="auto" w:fill="auto"/>
          </w:tcPr>
          <w:p w:rsidR="00ED107C" w:rsidRPr="003C36B5" w:rsidRDefault="003C36B5" w:rsidP="003C36B5">
            <w:pPr>
              <w:pStyle w:val="Compact"/>
              <w:spacing w:before="20" w:after="20"/>
              <w:rPr>
                <w:sz w:val="16"/>
              </w:rPr>
            </w:pPr>
            <w:r w:rsidRPr="003C36B5">
              <w:rPr>
                <w:sz w:val="16"/>
              </w:rPr>
              <w:t>Couverture du catalogue (classifié, owner, durée de conservation)</w:t>
            </w:r>
          </w:p>
        </w:tc>
        <w:tc>
          <w:tcPr>
            <w:tcW w:w="2329" w:type="dxa"/>
            <w:shd w:val="clear" w:color="auto" w:fill="auto"/>
          </w:tcPr>
          <w:p w:rsidR="00ED107C" w:rsidRPr="003C36B5" w:rsidRDefault="003C36B5" w:rsidP="003C36B5">
            <w:pPr>
              <w:pStyle w:val="Compact"/>
              <w:spacing w:before="20" w:after="20"/>
              <w:rPr>
                <w:sz w:val="16"/>
              </w:rPr>
            </w:pPr>
            <w:r w:rsidRPr="003C36B5">
              <w:rPr>
                <w:sz w:val="16"/>
              </w:rPr>
              <w:t>100 % des 5 domaines à M12</w:t>
            </w:r>
          </w:p>
        </w:tc>
        <w:tc>
          <w:tcPr>
            <w:tcW w:w="1552" w:type="dxa"/>
            <w:shd w:val="clear" w:color="auto" w:fill="auto"/>
          </w:tcPr>
          <w:p w:rsidR="00ED107C" w:rsidRPr="003C36B5" w:rsidRDefault="003C36B5" w:rsidP="003C36B5">
            <w:pPr>
              <w:pStyle w:val="Compact"/>
              <w:spacing w:before="20" w:after="20"/>
              <w:rPr>
                <w:sz w:val="16"/>
              </w:rPr>
            </w:pPr>
            <w:r w:rsidRPr="003C36B5">
              <w:rPr>
                <w:sz w:val="16"/>
              </w:rPr>
              <w:t>CoE</w:t>
            </w:r>
          </w:p>
        </w:tc>
      </w:tr>
      <w:tr w:rsidR="00ED107C" w:rsidRPr="003C36B5" w:rsidTr="003C36B5">
        <w:tc>
          <w:tcPr>
            <w:tcW w:w="4037" w:type="dxa"/>
            <w:shd w:val="clear" w:color="auto" w:fill="auto"/>
          </w:tcPr>
          <w:p w:rsidR="00ED107C" w:rsidRPr="003C36B5" w:rsidRDefault="003C36B5" w:rsidP="003C36B5">
            <w:pPr>
              <w:pStyle w:val="Compact"/>
              <w:spacing w:before="20" w:after="20"/>
              <w:rPr>
                <w:sz w:val="16"/>
              </w:rPr>
            </w:pPr>
            <w:r w:rsidRPr="003C36B5">
              <w:rPr>
                <w:sz w:val="16"/>
              </w:rPr>
              <w:t>Délai d’accès aux données ; employés fo</w:t>
            </w:r>
            <w:r w:rsidRPr="003C36B5">
              <w:rPr>
                <w:sz w:val="16"/>
              </w:rPr>
              <w:t>rmés</w:t>
            </w:r>
          </w:p>
        </w:tc>
        <w:tc>
          <w:tcPr>
            <w:tcW w:w="2329" w:type="dxa"/>
            <w:shd w:val="clear" w:color="auto" w:fill="auto"/>
          </w:tcPr>
          <w:p w:rsidR="00ED107C" w:rsidRPr="003C36B5" w:rsidRDefault="003C36B5" w:rsidP="003C36B5">
            <w:pPr>
              <w:pStyle w:val="Compact"/>
              <w:spacing w:before="20" w:after="20"/>
              <w:rPr>
                <w:sz w:val="16"/>
              </w:rPr>
            </w:pPr>
            <w:r w:rsidRPr="003C36B5">
              <w:rPr>
                <w:sz w:val="16"/>
              </w:rPr>
              <w:t>-20 % vs baseline ; &gt; 90 %</w:t>
            </w:r>
          </w:p>
        </w:tc>
        <w:tc>
          <w:tcPr>
            <w:tcW w:w="1552" w:type="dxa"/>
            <w:shd w:val="clear" w:color="auto" w:fill="auto"/>
          </w:tcPr>
          <w:p w:rsidR="00ED107C" w:rsidRPr="003C36B5" w:rsidRDefault="003C36B5" w:rsidP="003C36B5">
            <w:pPr>
              <w:pStyle w:val="Compact"/>
              <w:spacing w:before="20" w:after="20"/>
              <w:rPr>
                <w:sz w:val="16"/>
              </w:rPr>
            </w:pPr>
            <w:r w:rsidRPr="003C36B5">
              <w:rPr>
                <w:sz w:val="16"/>
              </w:rPr>
              <w:t>CoE</w:t>
            </w:r>
          </w:p>
        </w:tc>
      </w:tr>
      <w:tr w:rsidR="00ED107C" w:rsidRPr="003C36B5" w:rsidTr="003C36B5">
        <w:tc>
          <w:tcPr>
            <w:tcW w:w="4037" w:type="dxa"/>
            <w:shd w:val="clear" w:color="auto" w:fill="auto"/>
          </w:tcPr>
          <w:p w:rsidR="00ED107C" w:rsidRPr="003C36B5" w:rsidRDefault="003C36B5" w:rsidP="003C36B5">
            <w:pPr>
              <w:pStyle w:val="Compact"/>
              <w:spacing w:before="20" w:after="20"/>
              <w:rPr>
                <w:sz w:val="16"/>
              </w:rPr>
            </w:pPr>
            <w:r w:rsidRPr="003C36B5">
              <w:rPr>
                <w:sz w:val="16"/>
              </w:rPr>
              <w:t>Incidents de données critiques ; audit des biais</w:t>
            </w:r>
          </w:p>
        </w:tc>
        <w:tc>
          <w:tcPr>
            <w:tcW w:w="2329" w:type="dxa"/>
            <w:shd w:val="clear" w:color="auto" w:fill="auto"/>
          </w:tcPr>
          <w:p w:rsidR="00ED107C" w:rsidRPr="003C36B5" w:rsidRDefault="003C36B5" w:rsidP="003C36B5">
            <w:pPr>
              <w:pStyle w:val="Compact"/>
              <w:spacing w:before="20" w:after="20"/>
              <w:rPr>
                <w:sz w:val="16"/>
              </w:rPr>
            </w:pPr>
            <w:r w:rsidRPr="003C36B5">
              <w:rPr>
                <w:sz w:val="16"/>
              </w:rPr>
              <w:t>0 ; trimestriel, 0 biais critique</w:t>
            </w:r>
          </w:p>
        </w:tc>
        <w:tc>
          <w:tcPr>
            <w:tcW w:w="1552" w:type="dxa"/>
            <w:shd w:val="clear" w:color="auto" w:fill="auto"/>
          </w:tcPr>
          <w:p w:rsidR="00ED107C" w:rsidRPr="003C36B5" w:rsidRDefault="003C36B5" w:rsidP="003C36B5">
            <w:pPr>
              <w:pStyle w:val="Compact"/>
              <w:spacing w:before="20" w:after="20"/>
              <w:rPr>
                <w:sz w:val="16"/>
              </w:rPr>
            </w:pPr>
            <w:r w:rsidRPr="003C36B5">
              <w:rPr>
                <w:sz w:val="16"/>
              </w:rPr>
              <w:t>Head of Engineering + DPO</w:t>
            </w:r>
          </w:p>
        </w:tc>
      </w:tr>
      <w:tr w:rsidR="00ED107C" w:rsidRPr="003C36B5" w:rsidTr="003C36B5">
        <w:tc>
          <w:tcPr>
            <w:tcW w:w="4037" w:type="dxa"/>
            <w:shd w:val="clear" w:color="auto" w:fill="auto"/>
          </w:tcPr>
          <w:p w:rsidR="00ED107C" w:rsidRPr="003C36B5" w:rsidRDefault="003C36B5" w:rsidP="003C36B5">
            <w:pPr>
              <w:pStyle w:val="Compact"/>
              <w:spacing w:before="20" w:after="20"/>
              <w:rPr>
                <w:sz w:val="16"/>
              </w:rPr>
            </w:pPr>
            <w:r w:rsidRPr="003C36B5">
              <w:rPr>
                <w:sz w:val="16"/>
              </w:rPr>
              <w:t>Score de maturité</w:t>
            </w:r>
          </w:p>
        </w:tc>
        <w:tc>
          <w:tcPr>
            <w:tcW w:w="2329" w:type="dxa"/>
            <w:shd w:val="clear" w:color="auto" w:fill="auto"/>
          </w:tcPr>
          <w:p w:rsidR="00ED107C" w:rsidRPr="003C36B5" w:rsidRDefault="003C36B5" w:rsidP="003C36B5">
            <w:pPr>
              <w:pStyle w:val="Compact"/>
              <w:spacing w:before="20" w:after="20"/>
              <w:rPr>
                <w:sz w:val="16"/>
              </w:rPr>
            </w:pPr>
            <w:r w:rsidRPr="003C36B5">
              <w:rPr>
                <w:sz w:val="16"/>
              </w:rPr>
              <w:t>3,4 → 4,2 à M12 (semestriel)</w:t>
            </w:r>
          </w:p>
        </w:tc>
        <w:tc>
          <w:tcPr>
            <w:tcW w:w="1552" w:type="dxa"/>
            <w:shd w:val="clear" w:color="auto" w:fill="auto"/>
          </w:tcPr>
          <w:p w:rsidR="00ED107C" w:rsidRPr="003C36B5" w:rsidRDefault="003C36B5" w:rsidP="003C36B5">
            <w:pPr>
              <w:pStyle w:val="Compact"/>
              <w:spacing w:before="20" w:after="20"/>
              <w:rPr>
                <w:sz w:val="16"/>
              </w:rPr>
            </w:pPr>
            <w:r w:rsidRPr="003C36B5">
              <w:rPr>
                <w:sz w:val="16"/>
              </w:rPr>
              <w:t>CDO</w:t>
            </w:r>
          </w:p>
        </w:tc>
      </w:tr>
    </w:tbl>
    <w:p w:rsidR="00ED107C" w:rsidRDefault="003C36B5">
      <w:pPr>
        <w:pStyle w:val="Corpsdetexte"/>
      </w:pPr>
      <w:r>
        <w:rPr>
          <w:b/>
          <w:bCs/>
        </w:rPr>
        <w:t>Gouvernance du programme</w:t>
      </w:r>
      <w:r>
        <w:t xml:space="preserve"> </w:t>
      </w:r>
      <w:r>
        <w:t xml:space="preserve">: le Data Governance Committee est le comité de pilotage (Go/No-Go de chaque phase) ; le CDO rend compte trimestriellement au comité exécutif. Dépendances : nomination du CDO (M1) → tout le reste ; approbation du budget phases 1-2 avant M1 ; disponibilité </w:t>
      </w:r>
      <w:r>
        <w:t>des Data Engineers dès M1.</w:t>
      </w:r>
    </w:p>
    <w:p w:rsidR="00ED107C" w:rsidRDefault="003C36B5">
      <w:pPr>
        <w:pStyle w:val="Titre1"/>
      </w:pPr>
      <w:bookmarkStart w:id="45" w:name="Xfabf2ef48b4e20c53cbea207f484d8d1bf64066"/>
      <w:bookmarkStart w:id="46" w:name="_Toc240702674"/>
      <w:bookmarkEnd w:id="43"/>
      <w:bookmarkEnd w:id="31"/>
      <w:r>
        <w:lastRenderedPageBreak/>
        <w:t>Annexe A — Compliance Checklist (GDPR · CCPA/CPRA · PCI-DSS)</w:t>
      </w:r>
      <w:bookmarkEnd w:id="46"/>
    </w:p>
    <w:p w:rsidR="00ED107C" w:rsidRDefault="003C36B5">
      <w:pPr>
        <w:pStyle w:val="FirstParagraph"/>
      </w:pPr>
      <w:r>
        <w:t xml:space="preserve">Checklist officielle du projet, complétée. Statut = état actuel estimé à l’issue du Data Maturity Assessment (hypothèse, sans accès aux données internes) ; action plan </w:t>
      </w:r>
      <w:r>
        <w:t xml:space="preserve">= mesures de la politique (Partie 2) ; échéance = mois du plan d’implémentation (Partie 4). Fichier de travail : </w:t>
      </w:r>
      <w:r>
        <w:rPr>
          <w:rStyle w:val="VerbatimChar"/>
        </w:rPr>
        <w:t>02-compliance-checklist.xlsx</w:t>
      </w:r>
      <w:r>
        <w:t>.</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287"/>
        <w:gridCol w:w="936"/>
        <w:gridCol w:w="4575"/>
        <w:gridCol w:w="1247"/>
        <w:gridCol w:w="1143"/>
      </w:tblGrid>
      <w:tr w:rsidR="00ED107C" w:rsidRPr="003C36B5" w:rsidTr="003C36B5">
        <w:trPr>
          <w:cnfStyle w:val="100000000000" w:firstRow="1" w:lastRow="0" w:firstColumn="0" w:lastColumn="0" w:oddVBand="0" w:evenVBand="0" w:oddHBand="0" w:evenHBand="0" w:firstRowFirstColumn="0" w:firstRowLastColumn="0" w:lastRowFirstColumn="0" w:lastRowLastColumn="0"/>
          <w:tblHeader/>
        </w:trPr>
        <w:tc>
          <w:tcPr>
            <w:tcW w:w="1777"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Exigence</w:t>
            </w:r>
          </w:p>
        </w:tc>
        <w:tc>
          <w:tcPr>
            <w:tcW w:w="727"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Statut</w:t>
            </w:r>
          </w:p>
        </w:tc>
        <w:tc>
          <w:tcPr>
            <w:tcW w:w="3555"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Action plan</w:t>
            </w:r>
          </w:p>
        </w:tc>
        <w:tc>
          <w:tcPr>
            <w:tcW w:w="969"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Owner</w:t>
            </w:r>
          </w:p>
        </w:tc>
        <w:tc>
          <w:tcPr>
            <w:tcW w:w="888" w:type="dxa"/>
            <w:tcBorders>
              <w:bottom w:val="none" w:sz="0" w:space="0" w:color="auto"/>
            </w:tcBorders>
            <w:shd w:val="clear" w:color="auto" w:fill="EFEFEF"/>
          </w:tcPr>
          <w:p w:rsidR="00ED107C" w:rsidRPr="003C36B5" w:rsidRDefault="003C36B5" w:rsidP="003C36B5">
            <w:pPr>
              <w:pStyle w:val="Compact"/>
              <w:spacing w:before="20" w:after="20"/>
              <w:rPr>
                <w:b/>
                <w:sz w:val="16"/>
              </w:rPr>
            </w:pPr>
            <w:r w:rsidRPr="003C36B5">
              <w:rPr>
                <w:b/>
                <w:sz w:val="16"/>
              </w:rPr>
              <w:t>Échéance</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GDPR - Data Processing Principles</w:t>
            </w:r>
            <w:r w:rsidRPr="003C36B5">
              <w:rPr>
                <w:sz w:val="16"/>
              </w:rPr>
              <w:t xml:space="preserve"> — Ensure data is processed lawfully</w:t>
            </w:r>
            <w:r w:rsidRPr="003C36B5">
              <w:rPr>
                <w:sz w:val="16"/>
              </w:rPr>
              <w:t>, fairly, and transparently.</w:t>
            </w:r>
          </w:p>
        </w:tc>
        <w:tc>
          <w:tcPr>
            <w:tcW w:w="727" w:type="dxa"/>
            <w:shd w:val="clear" w:color="auto" w:fill="auto"/>
          </w:tcPr>
          <w:p w:rsidR="00ED107C" w:rsidRPr="003C36B5" w:rsidRDefault="003C36B5" w:rsidP="003C36B5">
            <w:pPr>
              <w:pStyle w:val="Compact"/>
              <w:spacing w:before="20" w:after="20"/>
              <w:rPr>
                <w:sz w:val="16"/>
              </w:rPr>
            </w:pPr>
            <w:r w:rsidRPr="003C36B5">
              <w:rPr>
                <w:sz w:val="16"/>
              </w:rPr>
              <w:t>Partiel</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Registre des traitements (art. 30) et base légale documentée par finalité (contrat / intérêt légitime / consentement / obligation légale). Data mapping OneTrust. Privacy notice réécrite par finalité, avec durées de cons</w:t>
            </w:r>
            <w:r w:rsidRPr="003C36B5">
              <w:rPr>
                <w:sz w:val="16"/>
              </w:rPr>
              <w:t>ervation et transferts (point sanctionné par l’IMY en 2023).</w:t>
            </w:r>
          </w:p>
        </w:tc>
        <w:tc>
          <w:tcPr>
            <w:tcW w:w="969" w:type="dxa"/>
            <w:shd w:val="clear" w:color="auto" w:fill="auto"/>
          </w:tcPr>
          <w:p w:rsidR="00ED107C" w:rsidRPr="003C36B5" w:rsidRDefault="003C36B5" w:rsidP="003C36B5">
            <w:pPr>
              <w:pStyle w:val="Compact"/>
              <w:spacing w:before="20" w:after="20"/>
              <w:rPr>
                <w:sz w:val="16"/>
              </w:rPr>
            </w:pPr>
            <w:r w:rsidRPr="003C36B5">
              <w:rPr>
                <w:sz w:val="16"/>
              </w:rPr>
              <w:t>DPO</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M4</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GDPR - User Rights</w:t>
            </w:r>
            <w:r w:rsidRPr="003C36B5">
              <w:rPr>
                <w:sz w:val="16"/>
              </w:rPr>
              <w:t xml:space="preserve"> — Users must be able to access, modify, or delete their data upon request.</w:t>
            </w:r>
          </w:p>
        </w:tc>
        <w:tc>
          <w:tcPr>
            <w:tcW w:w="727" w:type="dxa"/>
            <w:shd w:val="clear" w:color="auto" w:fill="auto"/>
          </w:tcPr>
          <w:p w:rsidR="00ED107C" w:rsidRPr="003C36B5" w:rsidRDefault="003C36B5" w:rsidP="003C36B5">
            <w:pPr>
              <w:pStyle w:val="Compact"/>
              <w:spacing w:before="20" w:after="20"/>
              <w:rPr>
                <w:sz w:val="16"/>
              </w:rPr>
            </w:pPr>
            <w:r w:rsidRPr="003C36B5">
              <w:rPr>
                <w:sz w:val="16"/>
              </w:rPr>
              <w:t>Partiel</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Couvrir les 7 droits (accès complet avec source/destinataires/durées/transferts, rectification, effacement, portabilité, opposition, limitation, décision automatisée). Pipeline d’effacement automatisé &lt; 30 j sur tous les systèmes du domaine. Privacy Team (</w:t>
            </w:r>
            <w:r w:rsidRPr="003C36B5">
              <w:rPr>
                <w:sz w:val="16"/>
              </w:rPr>
              <w:t>2 analystes) avec SLA 1 mois.</w:t>
            </w:r>
          </w:p>
        </w:tc>
        <w:tc>
          <w:tcPr>
            <w:tcW w:w="969" w:type="dxa"/>
            <w:shd w:val="clear" w:color="auto" w:fill="auto"/>
          </w:tcPr>
          <w:p w:rsidR="00ED107C" w:rsidRPr="003C36B5" w:rsidRDefault="003C36B5" w:rsidP="003C36B5">
            <w:pPr>
              <w:pStyle w:val="Compact"/>
              <w:spacing w:before="20" w:after="20"/>
              <w:rPr>
                <w:sz w:val="16"/>
              </w:rPr>
            </w:pPr>
            <w:r w:rsidRPr="003C36B5">
              <w:rPr>
                <w:sz w:val="16"/>
              </w:rPr>
              <w:t>DPO + Privacy Team + Engineering</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M6 (User Data), M12 (tous domaines)</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GDPR - Consent Management</w:t>
            </w:r>
            <w:r w:rsidRPr="003C36B5">
              <w:rPr>
                <w:sz w:val="16"/>
              </w:rPr>
              <w:t xml:space="preserve"> — Obtain explicit, informed consent before processing personal data.</w:t>
            </w:r>
          </w:p>
        </w:tc>
        <w:tc>
          <w:tcPr>
            <w:tcW w:w="727" w:type="dxa"/>
            <w:shd w:val="clear" w:color="auto" w:fill="auto"/>
          </w:tcPr>
          <w:p w:rsidR="00ED107C" w:rsidRPr="003C36B5" w:rsidRDefault="003C36B5" w:rsidP="003C36B5">
            <w:pPr>
              <w:pStyle w:val="Compact"/>
              <w:spacing w:before="20" w:after="20"/>
              <w:rPr>
                <w:sz w:val="16"/>
              </w:rPr>
            </w:pPr>
            <w:r w:rsidRPr="003C36B5">
              <w:rPr>
                <w:sz w:val="16"/>
              </w:rPr>
              <w:t>Partiel</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Plateforme de gestion des consentements (OneTrust) gr</w:t>
            </w:r>
            <w:r w:rsidRPr="003C36B5">
              <w:rPr>
                <w:sz w:val="16"/>
              </w:rPr>
              <w:t>anulaire par finalité, aussi simple à retirer qu’à donner. Consentement explicite pour publicité ciblée et partage à des tiers uniquement ; contrat / intérêt légitime pour le service. Consentement parental pour les mineurs (art. 8).</w:t>
            </w:r>
          </w:p>
        </w:tc>
        <w:tc>
          <w:tcPr>
            <w:tcW w:w="969" w:type="dxa"/>
            <w:shd w:val="clear" w:color="auto" w:fill="auto"/>
          </w:tcPr>
          <w:p w:rsidR="00ED107C" w:rsidRPr="003C36B5" w:rsidRDefault="003C36B5" w:rsidP="003C36B5">
            <w:pPr>
              <w:pStyle w:val="Compact"/>
              <w:spacing w:before="20" w:after="20"/>
              <w:rPr>
                <w:sz w:val="16"/>
              </w:rPr>
            </w:pPr>
            <w:r w:rsidRPr="003C36B5">
              <w:rPr>
                <w:sz w:val="16"/>
              </w:rPr>
              <w:t>DPO + Product</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M2 (déplo</w:t>
            </w:r>
            <w:r w:rsidRPr="003C36B5">
              <w:rPr>
                <w:sz w:val="16"/>
              </w:rPr>
              <w:t>iement), M6 (audit)</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GDPR - Data Breach Notification</w:t>
            </w:r>
            <w:r w:rsidRPr="003C36B5">
              <w:rPr>
                <w:sz w:val="16"/>
              </w:rPr>
              <w:t xml:space="preserve"> — Notify supervisory authority of data breaches within 72 hours.</w:t>
            </w:r>
          </w:p>
        </w:tc>
        <w:tc>
          <w:tcPr>
            <w:tcW w:w="727" w:type="dxa"/>
            <w:shd w:val="clear" w:color="auto" w:fill="auto"/>
          </w:tcPr>
          <w:p w:rsidR="00ED107C" w:rsidRPr="003C36B5" w:rsidRDefault="003C36B5" w:rsidP="003C36B5">
            <w:pPr>
              <w:pStyle w:val="Compact"/>
              <w:spacing w:before="20" w:after="20"/>
              <w:rPr>
                <w:sz w:val="16"/>
              </w:rPr>
            </w:pPr>
            <w:r w:rsidRPr="003C36B5">
              <w:rPr>
                <w:sz w:val="16"/>
              </w:rPr>
              <w:t>Partiel</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 xml:space="preserve">Protocole d’incident : détection SIEM Splunk, qualification sous 24 h, notification autorité sous 72 h, information des personnes </w:t>
            </w:r>
            <w:r w:rsidRPr="003C36B5">
              <w:rPr>
                <w:sz w:val="16"/>
              </w:rPr>
              <w:t>si risque élevé. Runbook + exercice annuel. Registre des violations.</w:t>
            </w:r>
          </w:p>
        </w:tc>
        <w:tc>
          <w:tcPr>
            <w:tcW w:w="969" w:type="dxa"/>
            <w:shd w:val="clear" w:color="auto" w:fill="auto"/>
          </w:tcPr>
          <w:p w:rsidR="00ED107C" w:rsidRPr="003C36B5" w:rsidRDefault="003C36B5" w:rsidP="003C36B5">
            <w:pPr>
              <w:pStyle w:val="Compact"/>
              <w:spacing w:before="20" w:after="20"/>
              <w:rPr>
                <w:sz w:val="16"/>
              </w:rPr>
            </w:pPr>
            <w:r w:rsidRPr="003C36B5">
              <w:rPr>
                <w:sz w:val="16"/>
              </w:rPr>
              <w:t>DPO + Head of Engineering</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M5 (runbook), M12 (exercice)</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GDPR - Data Protection Officer</w:t>
            </w:r>
            <w:r w:rsidRPr="003C36B5">
              <w:rPr>
                <w:sz w:val="16"/>
              </w:rPr>
              <w:t xml:space="preserve"> — Appoint a Data Protection Officer for monitoring compliance.</w:t>
            </w:r>
          </w:p>
        </w:tc>
        <w:tc>
          <w:tcPr>
            <w:tcW w:w="727" w:type="dxa"/>
            <w:shd w:val="clear" w:color="auto" w:fill="auto"/>
          </w:tcPr>
          <w:p w:rsidR="00ED107C" w:rsidRPr="003C36B5" w:rsidRDefault="003C36B5" w:rsidP="003C36B5">
            <w:pPr>
              <w:pStyle w:val="Compact"/>
              <w:spacing w:before="20" w:after="20"/>
              <w:rPr>
                <w:sz w:val="16"/>
              </w:rPr>
            </w:pPr>
            <w:r w:rsidRPr="003C36B5">
              <w:rPr>
                <w:sz w:val="16"/>
              </w:rPr>
              <w:t>Oui</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DPO confirmé, rattaché à la direc</w:t>
            </w:r>
            <w:r w:rsidRPr="003C36B5">
              <w:rPr>
                <w:sz w:val="16"/>
              </w:rPr>
              <w:t>tion générale hors ligne hiérarchique du CDO (indépendance, art. 38), enregistré auprès de l’autorité, dirige la Privacy Team, membre du Data Governance Committee.</w:t>
            </w:r>
          </w:p>
        </w:tc>
        <w:tc>
          <w:tcPr>
            <w:tcW w:w="969" w:type="dxa"/>
            <w:shd w:val="clear" w:color="auto" w:fill="auto"/>
          </w:tcPr>
          <w:p w:rsidR="00ED107C" w:rsidRPr="003C36B5" w:rsidRDefault="003C36B5" w:rsidP="003C36B5">
            <w:pPr>
              <w:pStyle w:val="Compact"/>
              <w:spacing w:before="20" w:after="20"/>
              <w:rPr>
                <w:sz w:val="16"/>
              </w:rPr>
            </w:pPr>
            <w:r w:rsidRPr="003C36B5">
              <w:rPr>
                <w:sz w:val="16"/>
              </w:rPr>
              <w:t>CEO / Board</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M1</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CCPA - Data Sale Opt-out</w:t>
            </w:r>
            <w:r w:rsidRPr="003C36B5">
              <w:rPr>
                <w:sz w:val="16"/>
              </w:rPr>
              <w:t xml:space="preserve"> </w:t>
            </w:r>
            <w:r w:rsidRPr="003C36B5">
              <w:rPr>
                <w:sz w:val="16"/>
              </w:rPr>
              <w:t>— Provide a clear opt-out mechanism for the sale of personal data.</w:t>
            </w:r>
          </w:p>
        </w:tc>
        <w:tc>
          <w:tcPr>
            <w:tcW w:w="727" w:type="dxa"/>
            <w:shd w:val="clear" w:color="auto" w:fill="auto"/>
          </w:tcPr>
          <w:p w:rsidR="00ED107C" w:rsidRPr="003C36B5" w:rsidRDefault="003C36B5" w:rsidP="003C36B5">
            <w:pPr>
              <w:pStyle w:val="Compact"/>
              <w:spacing w:before="20" w:after="20"/>
              <w:rPr>
                <w:sz w:val="16"/>
              </w:rPr>
            </w:pPr>
            <w:r w:rsidRPr="003C36B5">
              <w:rPr>
                <w:sz w:val="16"/>
              </w:rPr>
              <w:t>Partiel</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 xml:space="preserve">Lien « Do Not Sell or Share My Personal Information » visible (site et app), prise en compte du signal Global Privacy Control, opt-out propagé aux partenaires publicitaires sous 15 </w:t>
            </w:r>
            <w:r w:rsidRPr="003C36B5">
              <w:rPr>
                <w:sz w:val="16"/>
              </w:rPr>
              <w:t>jours, suivi OneTrust.</w:t>
            </w:r>
          </w:p>
        </w:tc>
        <w:tc>
          <w:tcPr>
            <w:tcW w:w="969" w:type="dxa"/>
            <w:shd w:val="clear" w:color="auto" w:fill="auto"/>
          </w:tcPr>
          <w:p w:rsidR="00ED107C" w:rsidRPr="003C36B5" w:rsidRDefault="003C36B5" w:rsidP="003C36B5">
            <w:pPr>
              <w:pStyle w:val="Compact"/>
              <w:spacing w:before="20" w:after="20"/>
              <w:rPr>
                <w:sz w:val="16"/>
              </w:rPr>
            </w:pPr>
            <w:r w:rsidRPr="003C36B5">
              <w:rPr>
                <w:sz w:val="16"/>
              </w:rPr>
              <w:t>Steward Ads + Product + Legal</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M9 (domaine Ads)</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CCPA - User Access and Deletion Requests</w:t>
            </w:r>
            <w:r w:rsidRPr="003C36B5">
              <w:rPr>
                <w:sz w:val="16"/>
              </w:rPr>
              <w:t xml:space="preserve"> — Allow users to request access to or deletion of their data.</w:t>
            </w:r>
          </w:p>
        </w:tc>
        <w:tc>
          <w:tcPr>
            <w:tcW w:w="727" w:type="dxa"/>
            <w:shd w:val="clear" w:color="auto" w:fill="auto"/>
          </w:tcPr>
          <w:p w:rsidR="00ED107C" w:rsidRPr="003C36B5" w:rsidRDefault="003C36B5" w:rsidP="003C36B5">
            <w:pPr>
              <w:pStyle w:val="Compact"/>
              <w:spacing w:before="20" w:after="20"/>
              <w:rPr>
                <w:sz w:val="16"/>
              </w:rPr>
            </w:pPr>
            <w:r w:rsidRPr="003C36B5">
              <w:rPr>
                <w:sz w:val="16"/>
              </w:rPr>
              <w:t>Partiel</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Portail libre-service (accès, suppression, correction CPRA) + traitement m</w:t>
            </w:r>
            <w:r w:rsidRPr="003C36B5">
              <w:rPr>
                <w:sz w:val="16"/>
              </w:rPr>
              <w:t>anuel par la Privacy Team, réponse &lt; 45 jours, vérification d’identité, journal des demandes.</w:t>
            </w:r>
          </w:p>
        </w:tc>
        <w:tc>
          <w:tcPr>
            <w:tcW w:w="969" w:type="dxa"/>
            <w:shd w:val="clear" w:color="auto" w:fill="auto"/>
          </w:tcPr>
          <w:p w:rsidR="00ED107C" w:rsidRPr="003C36B5" w:rsidRDefault="003C36B5" w:rsidP="003C36B5">
            <w:pPr>
              <w:pStyle w:val="Compact"/>
              <w:spacing w:before="20" w:after="20"/>
              <w:rPr>
                <w:sz w:val="16"/>
              </w:rPr>
            </w:pPr>
            <w:r w:rsidRPr="003C36B5">
              <w:rPr>
                <w:sz w:val="16"/>
              </w:rPr>
              <w:t>Privacy Team</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M6</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CCPA - Non-discrimination for Exercising Rights</w:t>
            </w:r>
            <w:r w:rsidRPr="003C36B5">
              <w:rPr>
                <w:sz w:val="16"/>
              </w:rPr>
              <w:t xml:space="preserve"> — Ensure no discrimination against users for exercising their CCPA rights.</w:t>
            </w:r>
          </w:p>
        </w:tc>
        <w:tc>
          <w:tcPr>
            <w:tcW w:w="727" w:type="dxa"/>
            <w:shd w:val="clear" w:color="auto" w:fill="auto"/>
          </w:tcPr>
          <w:p w:rsidR="00ED107C" w:rsidRPr="003C36B5" w:rsidRDefault="003C36B5" w:rsidP="003C36B5">
            <w:pPr>
              <w:pStyle w:val="Compact"/>
              <w:spacing w:before="20" w:after="20"/>
              <w:rPr>
                <w:sz w:val="16"/>
              </w:rPr>
            </w:pPr>
            <w:r w:rsidRPr="003C36B5">
              <w:rPr>
                <w:sz w:val="16"/>
              </w:rPr>
              <w:t>Oui</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Contrôle produit :</w:t>
            </w:r>
            <w:r w:rsidRPr="003C36B5">
              <w:rPr>
                <w:sz w:val="16"/>
              </w:rPr>
              <w:t xml:space="preserve"> aucune dégradation de service, de prix ou de qualité après exercice d’un droit ; test de non-régression à chaque release ; clause explicite dans la privacy notice.</w:t>
            </w:r>
          </w:p>
        </w:tc>
        <w:tc>
          <w:tcPr>
            <w:tcW w:w="969" w:type="dxa"/>
            <w:shd w:val="clear" w:color="auto" w:fill="auto"/>
          </w:tcPr>
          <w:p w:rsidR="00ED107C" w:rsidRPr="003C36B5" w:rsidRDefault="003C36B5" w:rsidP="003C36B5">
            <w:pPr>
              <w:pStyle w:val="Compact"/>
              <w:spacing w:before="20" w:after="20"/>
              <w:rPr>
                <w:sz w:val="16"/>
              </w:rPr>
            </w:pPr>
            <w:r w:rsidRPr="003C36B5">
              <w:rPr>
                <w:sz w:val="16"/>
              </w:rPr>
              <w:t>Product Managers</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M6 (vérification)</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PCI-DSS - Secure Network and Systems</w:t>
            </w:r>
            <w:r w:rsidRPr="003C36B5">
              <w:rPr>
                <w:sz w:val="16"/>
              </w:rPr>
              <w:t xml:space="preserve"> — Ensure a secure </w:t>
            </w:r>
            <w:r w:rsidRPr="003C36B5">
              <w:rPr>
                <w:sz w:val="16"/>
              </w:rPr>
              <w:t>network infrastructure and firewall protection.</w:t>
            </w:r>
          </w:p>
        </w:tc>
        <w:tc>
          <w:tcPr>
            <w:tcW w:w="727" w:type="dxa"/>
            <w:shd w:val="clear" w:color="auto" w:fill="auto"/>
          </w:tcPr>
          <w:p w:rsidR="00ED107C" w:rsidRPr="003C36B5" w:rsidRDefault="003C36B5" w:rsidP="003C36B5">
            <w:pPr>
              <w:pStyle w:val="Compact"/>
              <w:spacing w:before="20" w:after="20"/>
              <w:rPr>
                <w:sz w:val="16"/>
              </w:rPr>
            </w:pPr>
            <w:r w:rsidRPr="003C36B5">
              <w:rPr>
                <w:sz w:val="16"/>
              </w:rPr>
              <w:t>Oui (périmètre délégué)</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Paiements traités par un prestataire certifié PCI-DSS, aucun numéro de carte stocké chez Spotify (tokenisation). Périmètre résiduel : page de paiement et redirections sécurisées, segme</w:t>
            </w:r>
            <w:r w:rsidRPr="003C36B5">
              <w:rPr>
                <w:sz w:val="16"/>
              </w:rPr>
              <w:t>ntation réseau, questionnaire SAQ-A annuel.</w:t>
            </w:r>
          </w:p>
        </w:tc>
        <w:tc>
          <w:tcPr>
            <w:tcW w:w="969" w:type="dxa"/>
            <w:shd w:val="clear" w:color="auto" w:fill="auto"/>
          </w:tcPr>
          <w:p w:rsidR="00ED107C" w:rsidRPr="003C36B5" w:rsidRDefault="003C36B5" w:rsidP="003C36B5">
            <w:pPr>
              <w:pStyle w:val="Compact"/>
              <w:spacing w:before="20" w:after="20"/>
              <w:rPr>
                <w:sz w:val="16"/>
              </w:rPr>
            </w:pPr>
            <w:r w:rsidRPr="003C36B5">
              <w:rPr>
                <w:sz w:val="16"/>
              </w:rPr>
              <w:t>Head of Engineering + Steward Payments</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M10 (domaine Payments)</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PCI-DSS - Protect Cardholder Data</w:t>
            </w:r>
            <w:r w:rsidRPr="003C36B5">
              <w:rPr>
                <w:sz w:val="16"/>
              </w:rPr>
              <w:t xml:space="preserve"> — Protect stored cardholder data using encryption and secure storage.</w:t>
            </w:r>
          </w:p>
        </w:tc>
        <w:tc>
          <w:tcPr>
            <w:tcW w:w="727" w:type="dxa"/>
            <w:shd w:val="clear" w:color="auto" w:fill="auto"/>
          </w:tcPr>
          <w:p w:rsidR="00ED107C" w:rsidRPr="003C36B5" w:rsidRDefault="003C36B5" w:rsidP="003C36B5">
            <w:pPr>
              <w:pStyle w:val="Compact"/>
              <w:spacing w:before="20" w:after="20"/>
              <w:rPr>
                <w:sz w:val="16"/>
              </w:rPr>
            </w:pPr>
            <w:r w:rsidRPr="003C36B5">
              <w:rPr>
                <w:sz w:val="16"/>
              </w:rPr>
              <w:t>Oui (périmètre délégué)</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Jetons et données de facturation classés « Sensible » : chiffrement au repos (Thales/Vormetric) et en transit, durées de conservation alignées sur les obligations comptables, suppression à échéance.</w:t>
            </w:r>
          </w:p>
        </w:tc>
        <w:tc>
          <w:tcPr>
            <w:tcW w:w="969" w:type="dxa"/>
            <w:shd w:val="clear" w:color="auto" w:fill="auto"/>
          </w:tcPr>
          <w:p w:rsidR="00ED107C" w:rsidRPr="003C36B5" w:rsidRDefault="003C36B5" w:rsidP="003C36B5">
            <w:pPr>
              <w:pStyle w:val="Compact"/>
              <w:spacing w:before="20" w:after="20"/>
              <w:rPr>
                <w:sz w:val="16"/>
              </w:rPr>
            </w:pPr>
            <w:r w:rsidRPr="003C36B5">
              <w:rPr>
                <w:sz w:val="16"/>
              </w:rPr>
              <w:t>Steward Payments</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M10</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PCI-DSS - Maintain Vulnerability Management Program</w:t>
            </w:r>
            <w:r w:rsidRPr="003C36B5">
              <w:rPr>
                <w:sz w:val="16"/>
              </w:rPr>
              <w:t xml:space="preserve"> — Maintain systems for protection against malware and vulnerabilities.</w:t>
            </w:r>
          </w:p>
        </w:tc>
        <w:tc>
          <w:tcPr>
            <w:tcW w:w="727" w:type="dxa"/>
            <w:shd w:val="clear" w:color="auto" w:fill="auto"/>
          </w:tcPr>
          <w:p w:rsidR="00ED107C" w:rsidRPr="003C36B5" w:rsidRDefault="003C36B5" w:rsidP="003C36B5">
            <w:pPr>
              <w:pStyle w:val="Compact"/>
              <w:spacing w:before="20" w:after="20"/>
              <w:rPr>
                <w:sz w:val="16"/>
              </w:rPr>
            </w:pPr>
            <w:r w:rsidRPr="003C36B5">
              <w:rPr>
                <w:sz w:val="16"/>
              </w:rPr>
              <w:t>Partiel</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Scans de vulnérabilités trimestriels (ASV), patch management avec SLA, anti-malware sur les postes accédant aux consoles de p</w:t>
            </w:r>
            <w:r w:rsidRPr="003C36B5">
              <w:rPr>
                <w:sz w:val="16"/>
              </w:rPr>
              <w:t>aiement.</w:t>
            </w:r>
          </w:p>
        </w:tc>
        <w:tc>
          <w:tcPr>
            <w:tcW w:w="969" w:type="dxa"/>
            <w:shd w:val="clear" w:color="auto" w:fill="auto"/>
          </w:tcPr>
          <w:p w:rsidR="00ED107C" w:rsidRPr="003C36B5" w:rsidRDefault="003C36B5" w:rsidP="003C36B5">
            <w:pPr>
              <w:pStyle w:val="Compact"/>
              <w:spacing w:before="20" w:after="20"/>
              <w:rPr>
                <w:sz w:val="16"/>
              </w:rPr>
            </w:pPr>
            <w:r w:rsidRPr="003C36B5">
              <w:rPr>
                <w:sz w:val="16"/>
              </w:rPr>
              <w:t>Head of Engineering</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M10</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PCI-DSS - Implement Strong Access Control Measures</w:t>
            </w:r>
            <w:r w:rsidRPr="003C36B5">
              <w:rPr>
                <w:sz w:val="16"/>
              </w:rPr>
              <w:t xml:space="preserve"> — Limit access to cardholder data to authorized personnel only.</w:t>
            </w:r>
          </w:p>
        </w:tc>
        <w:tc>
          <w:tcPr>
            <w:tcW w:w="727" w:type="dxa"/>
            <w:shd w:val="clear" w:color="auto" w:fill="auto"/>
          </w:tcPr>
          <w:p w:rsidR="00ED107C" w:rsidRPr="003C36B5" w:rsidRDefault="003C36B5" w:rsidP="003C36B5">
            <w:pPr>
              <w:pStyle w:val="Compact"/>
              <w:spacing w:before="20" w:after="20"/>
              <w:rPr>
                <w:sz w:val="16"/>
              </w:rPr>
            </w:pPr>
            <w:r w:rsidRPr="003C36B5">
              <w:rPr>
                <w:sz w:val="16"/>
              </w:rPr>
              <w:t>Partiel</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Accès aux consoles et données de paiement limité aux rôles nommés, MFA obligatoire, revue des accès</w:t>
            </w:r>
            <w:r w:rsidRPr="003C36B5">
              <w:rPr>
                <w:sz w:val="16"/>
              </w:rPr>
              <w:t xml:space="preserve"> trimestrielle, journalisation nominative.</w:t>
            </w:r>
          </w:p>
        </w:tc>
        <w:tc>
          <w:tcPr>
            <w:tcW w:w="969" w:type="dxa"/>
            <w:shd w:val="clear" w:color="auto" w:fill="auto"/>
          </w:tcPr>
          <w:p w:rsidR="00ED107C" w:rsidRPr="003C36B5" w:rsidRDefault="003C36B5" w:rsidP="003C36B5">
            <w:pPr>
              <w:pStyle w:val="Compact"/>
              <w:spacing w:before="20" w:after="20"/>
              <w:rPr>
                <w:sz w:val="16"/>
              </w:rPr>
            </w:pPr>
            <w:r w:rsidRPr="003C36B5">
              <w:rPr>
                <w:sz w:val="16"/>
              </w:rPr>
              <w:t>Head of Engineering + Steward Payments</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M10</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PCI-DSS - Regularly Monitor and Test Networks</w:t>
            </w:r>
            <w:r w:rsidRPr="003C36B5">
              <w:rPr>
                <w:sz w:val="16"/>
              </w:rPr>
              <w:t xml:space="preserve"> — Implement systems to regularly test security measures and procedures.</w:t>
            </w:r>
          </w:p>
        </w:tc>
        <w:tc>
          <w:tcPr>
            <w:tcW w:w="727" w:type="dxa"/>
            <w:shd w:val="clear" w:color="auto" w:fill="auto"/>
          </w:tcPr>
          <w:p w:rsidR="00ED107C" w:rsidRPr="003C36B5" w:rsidRDefault="003C36B5" w:rsidP="003C36B5">
            <w:pPr>
              <w:pStyle w:val="Compact"/>
              <w:spacing w:before="20" w:after="20"/>
              <w:rPr>
                <w:sz w:val="16"/>
              </w:rPr>
            </w:pPr>
            <w:r w:rsidRPr="003C36B5">
              <w:rPr>
                <w:sz w:val="16"/>
              </w:rPr>
              <w:t>Partiel</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Journalisation centralisée dans Splunk, alertes sur accès anormaux, pentest annuel du parcours de paiement, revue des logs par le steward.</w:t>
            </w:r>
          </w:p>
        </w:tc>
        <w:tc>
          <w:tcPr>
            <w:tcW w:w="969" w:type="dxa"/>
            <w:shd w:val="clear" w:color="auto" w:fill="auto"/>
          </w:tcPr>
          <w:p w:rsidR="00ED107C" w:rsidRPr="003C36B5" w:rsidRDefault="003C36B5" w:rsidP="003C36B5">
            <w:pPr>
              <w:pStyle w:val="Compact"/>
              <w:spacing w:before="20" w:after="20"/>
              <w:rPr>
                <w:sz w:val="16"/>
              </w:rPr>
            </w:pPr>
            <w:r w:rsidRPr="003C36B5">
              <w:rPr>
                <w:sz w:val="16"/>
              </w:rPr>
              <w:t>Head of Engineering</w:t>
            </w:r>
          </w:p>
        </w:tc>
        <w:tc>
          <w:tcPr>
            <w:tcW w:w="888" w:type="dxa"/>
            <w:shd w:val="clear" w:color="auto" w:fill="auto"/>
          </w:tcPr>
          <w:p w:rsidR="00ED107C" w:rsidRPr="003C36B5" w:rsidRDefault="003C36B5" w:rsidP="003C36B5">
            <w:pPr>
              <w:pStyle w:val="Compact"/>
              <w:spacing w:before="20" w:after="20"/>
              <w:rPr>
                <w:sz w:val="16"/>
              </w:rPr>
            </w:pPr>
            <w:r w:rsidRPr="003C36B5">
              <w:rPr>
                <w:sz w:val="16"/>
              </w:rPr>
              <w:t>M10 (setup), annuel</w:t>
            </w:r>
          </w:p>
        </w:tc>
      </w:tr>
      <w:tr w:rsidR="00ED107C" w:rsidRPr="003C36B5" w:rsidTr="003C36B5">
        <w:tc>
          <w:tcPr>
            <w:tcW w:w="1777" w:type="dxa"/>
            <w:shd w:val="clear" w:color="auto" w:fill="auto"/>
          </w:tcPr>
          <w:p w:rsidR="00ED107C" w:rsidRPr="003C36B5" w:rsidRDefault="003C36B5" w:rsidP="003C36B5">
            <w:pPr>
              <w:pStyle w:val="Compact"/>
              <w:spacing w:before="20" w:after="20"/>
              <w:rPr>
                <w:sz w:val="16"/>
              </w:rPr>
            </w:pPr>
            <w:r w:rsidRPr="003C36B5">
              <w:rPr>
                <w:b/>
                <w:bCs/>
                <w:sz w:val="16"/>
              </w:rPr>
              <w:t xml:space="preserve">PCI-DSS - Information Security </w:t>
            </w:r>
            <w:r w:rsidRPr="003C36B5">
              <w:rPr>
                <w:b/>
                <w:bCs/>
                <w:sz w:val="16"/>
              </w:rPr>
              <w:lastRenderedPageBreak/>
              <w:t>Policy</w:t>
            </w:r>
            <w:r w:rsidRPr="003C36B5">
              <w:rPr>
                <w:sz w:val="16"/>
              </w:rPr>
              <w:t xml:space="preserve"> — Maintain an updated information secu</w:t>
            </w:r>
            <w:r w:rsidRPr="003C36B5">
              <w:rPr>
                <w:sz w:val="16"/>
              </w:rPr>
              <w:t>rity policy for all personnel.</w:t>
            </w:r>
          </w:p>
        </w:tc>
        <w:tc>
          <w:tcPr>
            <w:tcW w:w="727" w:type="dxa"/>
            <w:shd w:val="clear" w:color="auto" w:fill="auto"/>
          </w:tcPr>
          <w:p w:rsidR="00ED107C" w:rsidRPr="003C36B5" w:rsidRDefault="003C36B5" w:rsidP="003C36B5">
            <w:pPr>
              <w:pStyle w:val="Compact"/>
              <w:spacing w:before="20" w:after="20"/>
              <w:rPr>
                <w:sz w:val="16"/>
              </w:rPr>
            </w:pPr>
            <w:r w:rsidRPr="003C36B5">
              <w:rPr>
                <w:sz w:val="16"/>
              </w:rPr>
              <w:lastRenderedPageBreak/>
              <w:t>Partiel</w:t>
            </w:r>
          </w:p>
        </w:tc>
        <w:tc>
          <w:tcPr>
            <w:tcW w:w="3555" w:type="dxa"/>
            <w:shd w:val="clear" w:color="auto" w:fill="auto"/>
          </w:tcPr>
          <w:p w:rsidR="00ED107C" w:rsidRPr="003C36B5" w:rsidRDefault="003C36B5" w:rsidP="003C36B5">
            <w:pPr>
              <w:pStyle w:val="Compact"/>
              <w:spacing w:before="20" w:after="20"/>
              <w:rPr>
                <w:sz w:val="16"/>
              </w:rPr>
            </w:pPr>
            <w:r w:rsidRPr="003C36B5">
              <w:rPr>
                <w:sz w:val="16"/>
              </w:rPr>
              <w:t xml:space="preserve">Politique de sécurité de l’information annexée à la Data </w:t>
            </w:r>
            <w:r w:rsidRPr="003C36B5">
              <w:rPr>
                <w:sz w:val="16"/>
              </w:rPr>
              <w:lastRenderedPageBreak/>
              <w:t>Governance Policy, communiquée à tout le personnel (e-learning obligatoire, &gt; 90 % formés), revue annuelle.</w:t>
            </w:r>
          </w:p>
        </w:tc>
        <w:tc>
          <w:tcPr>
            <w:tcW w:w="969" w:type="dxa"/>
            <w:shd w:val="clear" w:color="auto" w:fill="auto"/>
          </w:tcPr>
          <w:p w:rsidR="00ED107C" w:rsidRPr="003C36B5" w:rsidRDefault="003C36B5" w:rsidP="003C36B5">
            <w:pPr>
              <w:pStyle w:val="Compact"/>
              <w:spacing w:before="20" w:after="20"/>
              <w:rPr>
                <w:sz w:val="16"/>
              </w:rPr>
            </w:pPr>
            <w:r w:rsidRPr="003C36B5">
              <w:rPr>
                <w:sz w:val="16"/>
              </w:rPr>
              <w:lastRenderedPageBreak/>
              <w:t xml:space="preserve">CDO + DPO + </w:t>
            </w:r>
            <w:r w:rsidRPr="003C36B5">
              <w:rPr>
                <w:sz w:val="16"/>
              </w:rPr>
              <w:lastRenderedPageBreak/>
              <w:t>Security</w:t>
            </w:r>
          </w:p>
        </w:tc>
        <w:tc>
          <w:tcPr>
            <w:tcW w:w="888" w:type="dxa"/>
            <w:shd w:val="clear" w:color="auto" w:fill="auto"/>
          </w:tcPr>
          <w:p w:rsidR="00ED107C" w:rsidRPr="003C36B5" w:rsidRDefault="003C36B5" w:rsidP="003C36B5">
            <w:pPr>
              <w:pStyle w:val="Compact"/>
              <w:spacing w:before="20" w:after="20"/>
              <w:rPr>
                <w:sz w:val="16"/>
              </w:rPr>
            </w:pPr>
            <w:r w:rsidRPr="003C36B5">
              <w:rPr>
                <w:sz w:val="16"/>
              </w:rPr>
              <w:lastRenderedPageBreak/>
              <w:t xml:space="preserve">M2 </w:t>
            </w:r>
            <w:r w:rsidRPr="003C36B5">
              <w:rPr>
                <w:sz w:val="16"/>
              </w:rPr>
              <w:lastRenderedPageBreak/>
              <w:t>(publication), M12 (revue)</w:t>
            </w:r>
          </w:p>
        </w:tc>
      </w:tr>
    </w:tbl>
    <w:p w:rsidR="00ED107C" w:rsidRDefault="003C36B5">
      <w:pPr>
        <w:pStyle w:val="Titre1"/>
      </w:pPr>
      <w:bookmarkStart w:id="47" w:name="annexe-b-sources-et-hypothèses"/>
      <w:bookmarkStart w:id="48" w:name="_Toc240702675"/>
      <w:bookmarkEnd w:id="45"/>
      <w:r>
        <w:lastRenderedPageBreak/>
        <w:t>Annexe B — Sources et hypothèses</w:t>
      </w:r>
      <w:bookmarkEnd w:id="48"/>
    </w:p>
    <w:p w:rsidR="00ED107C" w:rsidRDefault="003C36B5">
      <w:pPr>
        <w:pStyle w:val="FirstParagraph"/>
      </w:pPr>
      <w:r>
        <w:rPr>
          <w:b/>
          <w:bCs/>
        </w:rPr>
        <w:t>Chiffres sourcés (sources publiques, vérifiées en septembre 2026).</w:t>
      </w:r>
    </w:p>
    <w:p w:rsidR="00ED107C" w:rsidRDefault="003C36B5">
      <w:pPr>
        <w:pStyle w:val="Compact"/>
        <w:numPr>
          <w:ilvl w:val="0"/>
          <w:numId w:val="3"/>
        </w:numPr>
      </w:pPr>
      <w:r>
        <w:rPr>
          <w:b/>
          <w:bCs/>
        </w:rPr>
        <w:t>Sanction IMY</w:t>
      </w:r>
      <w:r>
        <w:t xml:space="preserve"> : autorité suédoise de protection des données, juin 2023 — amende administrative de 58 M SEK contre Spotify AB pour manquement au droit d’accès</w:t>
      </w:r>
      <w:r>
        <w:t xml:space="preserve"> (GDPR art. 15 : information insuffisante sur les finalités, durées de conservation et transferts) ; confirmée par la cour administrative d’appel. Sources : imy.se, noyb.eu.</w:t>
      </w:r>
    </w:p>
    <w:p w:rsidR="00ED107C" w:rsidRDefault="003C36B5">
      <w:pPr>
        <w:pStyle w:val="Compact"/>
        <w:numPr>
          <w:ilvl w:val="0"/>
          <w:numId w:val="3"/>
        </w:numPr>
      </w:pPr>
      <w:r>
        <w:rPr>
          <w:b/>
          <w:bCs/>
        </w:rPr>
        <w:t>Chiffre d’affaires 2023</w:t>
      </w:r>
      <w:r>
        <w:t xml:space="preserve"> : 13,247 Md€ (Spotify Technology S.A., rapport annuel Form</w:t>
      </w:r>
      <w:r>
        <w:t xml:space="preserve"> 20-F 2023) → 4 % ≈ 530 M€.</w:t>
      </w:r>
    </w:p>
    <w:p w:rsidR="00ED107C" w:rsidRDefault="003C36B5">
      <w:pPr>
        <w:pStyle w:val="Compact"/>
        <w:numPr>
          <w:ilvl w:val="0"/>
          <w:numId w:val="3"/>
        </w:numPr>
      </w:pPr>
      <w:r>
        <w:rPr>
          <w:b/>
          <w:bCs/>
        </w:rPr>
        <w:t>Catalogue interne Lexikon</w:t>
      </w:r>
      <w:r>
        <w:t xml:space="preserve"> et migration GCP/BigQuery depuis 2016 : Spotify Engineering, « How We Improved Data Discovery for Data Scientists at Spotify », février 2020 (adoption par 95 % des data scientists).</w:t>
      </w:r>
    </w:p>
    <w:p w:rsidR="00ED107C" w:rsidRDefault="003C36B5">
      <w:pPr>
        <w:pStyle w:val="Compact"/>
        <w:numPr>
          <w:ilvl w:val="0"/>
          <w:numId w:val="3"/>
        </w:numPr>
      </w:pPr>
      <w:r>
        <w:rPr>
          <w:b/>
          <w:bCs/>
        </w:rPr>
        <w:t>Contexte</w:t>
      </w:r>
      <w:r>
        <w:t xml:space="preserve"> : business </w:t>
      </w:r>
      <w:r>
        <w:t>case Jedha (450 M d’utilisateurs actifs, 200 M d’abonnés premium, 180+ pays, 2023).</w:t>
      </w:r>
    </w:p>
    <w:p w:rsidR="00ED107C" w:rsidRDefault="003C36B5">
      <w:pPr>
        <w:pStyle w:val="FirstParagraph"/>
      </w:pPr>
      <w:r>
        <w:rPr>
          <w:b/>
          <w:bCs/>
        </w:rPr>
        <w:t>Ressources Jedha utilisées.</w:t>
      </w:r>
      <w:r>
        <w:t xml:space="preserve"> Data Maturity Assessment Template (9 dimensions) · Governance Principles Guide (9 principes) · Data Governance Roles Template (4 rôles) · Compli</w:t>
      </w:r>
      <w:r>
        <w:t>ance Checklist (14 exigences, annexe A) · Organizational Models Overview (Centralisé / Embedded / CoE) · Tech Tools Overview · Pilot Implementation Template (10 sections) · Executive Q&amp;A Guide (12 questions, traitées dans la présentation).</w:t>
      </w:r>
    </w:p>
    <w:p w:rsidR="00ED107C" w:rsidRDefault="003C36B5">
      <w:pPr>
        <w:pStyle w:val="Corpsdetexte"/>
      </w:pPr>
      <w:r>
        <w:rPr>
          <w:b/>
          <w:bCs/>
        </w:rPr>
        <w:t>Hypothèses de tr</w:t>
      </w:r>
      <w:r>
        <w:rPr>
          <w:b/>
          <w:bCs/>
        </w:rPr>
        <w:t>avail (à valider en phase 1 — audit de l’existant).</w:t>
      </w:r>
      <w:r>
        <w:t xml:space="preserve"> Existence d’un DPO en place ; délégation des paiements à un prestataire certifié PCI-DSS (aucun numéro de carte stocké) ; part de métadonnées de contenu incomplètes côté labels et distributeurs indépendan</w:t>
      </w:r>
      <w:r>
        <w:t>ts ; absence de SIEM unifié ; coûts du programme (10,5 ETP à 120 k€ chargés, licences 1,5-2,5 M€/an, intégration 0,5-1 M€, formation 0,3 M€) ; gain d’efficacité (500 analystes × 2 h/semaine) ; durées de conservation initiales. Chaque hypothèse est signalée</w:t>
      </w:r>
      <w:r>
        <w:t xml:space="preserve"> « (hyp.) » à l’endroit où elle est utilisée.</w:t>
      </w:r>
    </w:p>
    <w:p w:rsidR="00ED107C" w:rsidRDefault="003C36B5">
      <w:pPr>
        <w:pStyle w:val="Corpsdetexte"/>
      </w:pPr>
      <w:r>
        <w:rPr>
          <w:b/>
          <w:bCs/>
        </w:rPr>
        <w:t>Réglementations citées.</w:t>
      </w:r>
      <w:r>
        <w:t xml:space="preserve"> GDPR (UE 2016/679) · CCPA (2018) et CPRA (2023) · PCI-DSS v4.0 · PDPA Singapour · LGPD Brésil · DSA (UE 2022/2065, art. 27 et 38) · AI Act (UE 2024/1689).</w:t>
      </w:r>
    </w:p>
    <w:bookmarkEnd w:id="47"/>
    <w:sectPr w:rsidR="00ED107C" w:rsidSect="003C36B5">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2240" w:h="15840"/>
      <w:pgMar w:top="1021" w:right="1134" w:bottom="1021"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36B5" w:rsidRDefault="003C36B5" w:rsidP="003C36B5">
      <w:pPr>
        <w:spacing w:after="0"/>
      </w:pPr>
      <w:r>
        <w:separator/>
      </w:r>
    </w:p>
  </w:endnote>
  <w:endnote w:type="continuationSeparator" w:id="0">
    <w:p w:rsidR="003C36B5" w:rsidRDefault="003C36B5" w:rsidP="003C36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6B5" w:rsidRDefault="003C36B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6B5" w:rsidRPr="003C36B5" w:rsidRDefault="003C36B5" w:rsidP="003C36B5">
    <w:pPr>
      <w:pStyle w:val="Pieddepage"/>
      <w:jc w:val="right"/>
      <w:rPr>
        <w:color w:val="8A8A8A"/>
        <w:sz w:val="16"/>
      </w:rPr>
    </w:pPr>
    <w:r w:rsidRPr="003C36B5">
      <w:rPr>
        <w:color w:val="8A8A8A"/>
        <w:sz w:val="16"/>
      </w:rPr>
      <w:t xml:space="preserve">Spotify — Data Governance · Emeline ROBLOT · Septembre 2026 · Page </w:t>
    </w:r>
    <w:r>
      <w:rPr>
        <w:color w:val="8A8A8A"/>
        <w:sz w:val="16"/>
      </w:rPr>
      <w:fldChar w:fldCharType="begin"/>
    </w:r>
    <w:r>
      <w:rPr>
        <w:color w:val="8A8A8A"/>
        <w:sz w:val="16"/>
      </w:rPr>
      <w:instrText xml:space="preserve"> PAGE  \* MERGEFORMAT </w:instrText>
    </w:r>
    <w:r>
      <w:rPr>
        <w:color w:val="8A8A8A"/>
        <w:sz w:val="16"/>
      </w:rPr>
      <w:fldChar w:fldCharType="separate"/>
    </w:r>
    <w:r>
      <w:rPr>
        <w:noProof/>
        <w:color w:val="8A8A8A"/>
        <w:sz w:val="16"/>
      </w:rPr>
      <w:t>15</w:t>
    </w:r>
    <w:r>
      <w:rPr>
        <w:color w:val="8A8A8A"/>
        <w:sz w:val="16"/>
      </w:rPr>
      <w:fldChar w:fldCharType="end"/>
    </w:r>
    <w:r>
      <w:rPr>
        <w:color w:val="8A8A8A"/>
        <w:sz w:val="16"/>
      </w:rPr>
      <w:t xml:space="preserve"> / </w:t>
    </w:r>
    <w:r>
      <w:rPr>
        <w:color w:val="8A8A8A"/>
        <w:sz w:val="16"/>
      </w:rPr>
      <w:fldChar w:fldCharType="begin"/>
    </w:r>
    <w:r>
      <w:rPr>
        <w:color w:val="8A8A8A"/>
        <w:sz w:val="16"/>
      </w:rPr>
      <w:instrText xml:space="preserve"> NUMPAGES  \* MERGEFORMAT </w:instrText>
    </w:r>
    <w:r>
      <w:rPr>
        <w:color w:val="8A8A8A"/>
        <w:sz w:val="16"/>
      </w:rPr>
      <w:fldChar w:fldCharType="separate"/>
    </w:r>
    <w:r>
      <w:rPr>
        <w:noProof/>
        <w:color w:val="8A8A8A"/>
        <w:sz w:val="16"/>
      </w:rPr>
      <w:t>15</w:t>
    </w:r>
    <w:r>
      <w:rPr>
        <w:color w:val="8A8A8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6B5" w:rsidRDefault="003C36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36B5" w:rsidRDefault="003C36B5" w:rsidP="003C36B5">
      <w:pPr>
        <w:spacing w:after="0"/>
      </w:pPr>
      <w:r>
        <w:separator/>
      </w:r>
    </w:p>
  </w:footnote>
  <w:footnote w:type="continuationSeparator" w:id="0">
    <w:p w:rsidR="003C36B5" w:rsidRDefault="003C36B5" w:rsidP="003C36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6B5" w:rsidRDefault="003C36B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6B5" w:rsidRDefault="003C36B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6B5" w:rsidRDefault="003C36B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40A19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5067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
  <w:rsids>
    <w:rsidRoot w:val="00ED107C"/>
    <w:rsid w:val="003C36B5"/>
    <w:rsid w:val="00ED1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77AFCE3-F9D8-48C4-A956-B65632400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pPr>
    <w:rPr>
      <w:rFonts w:ascii="Calibri" w:hAnsi="Calibri" w:cs="Calibri"/>
      <w:sz w:val="20"/>
    </w:rPr>
  </w:style>
  <w:style w:type="paragraph" w:styleId="Titre1">
    <w:name w:val="heading 1"/>
    <w:basedOn w:val="Normal"/>
    <w:next w:val="Corpsdetexte"/>
    <w:link w:val="Titre1Car"/>
    <w:uiPriority w:val="9"/>
    <w:qFormat/>
    <w:rsid w:val="00A10FD9"/>
    <w:pPr>
      <w:keepNext/>
      <w:keepLines/>
      <w:pageBreakBefore/>
      <w:spacing w:before="160" w:after="60"/>
      <w:outlineLvl w:val="0"/>
    </w:pPr>
    <w:rPr>
      <w:rFonts w:eastAsiaTheme="majorEastAsia"/>
      <w:b/>
      <w:color w:val="1DB954"/>
      <w:sz w:val="32"/>
      <w:szCs w:val="40"/>
    </w:rPr>
  </w:style>
  <w:style w:type="paragraph" w:styleId="Titre2">
    <w:name w:val="heading 2"/>
    <w:basedOn w:val="Normal"/>
    <w:next w:val="Corpsdetexte"/>
    <w:link w:val="Titre2Car"/>
    <w:uiPriority w:val="9"/>
    <w:semiHidden/>
    <w:unhideWhenUsed/>
    <w:qFormat/>
    <w:rsid w:val="00A10FD9"/>
    <w:pPr>
      <w:keepNext/>
      <w:keepLines/>
      <w:spacing w:before="160" w:after="60"/>
      <w:outlineLvl w:val="1"/>
    </w:pPr>
    <w:rPr>
      <w:rFonts w:eastAsiaTheme="majorEastAsia"/>
      <w:b/>
      <w:color w:val="191414"/>
      <w:sz w:val="24"/>
      <w:szCs w:val="32"/>
    </w:rPr>
  </w:style>
  <w:style w:type="paragraph" w:styleId="Titre3">
    <w:name w:val="heading 3"/>
    <w:basedOn w:val="Normal"/>
    <w:next w:val="Corpsdetexte"/>
    <w:link w:val="Titre3Car"/>
    <w:uiPriority w:val="9"/>
    <w:semiHidden/>
    <w:unhideWhenUsed/>
    <w:qFormat/>
    <w:rsid w:val="00A10FD9"/>
    <w:pPr>
      <w:keepNext/>
      <w:keepLines/>
      <w:spacing w:before="160" w:after="60"/>
      <w:outlineLvl w:val="2"/>
    </w:pPr>
    <w:rPr>
      <w:rFonts w:eastAsiaTheme="majorEastAsia"/>
      <w:b/>
      <w:color w:val="191414"/>
      <w:sz w:val="22"/>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60"/>
      <w:contextualSpacing/>
      <w:jc w:val="center"/>
    </w:pPr>
    <w:rPr>
      <w:rFonts w:eastAsiaTheme="majorEastAsia"/>
      <w:b/>
      <w:color w:val="1DB954"/>
      <w:sz w:val="40"/>
      <w:szCs w:val="56"/>
    </w:rPr>
  </w:style>
  <w:style w:type="character" w:customStyle="1" w:styleId="TitreCar">
    <w:name w:val="Titre Car"/>
    <w:basedOn w:val="Policepardfaut"/>
    <w:link w:val="Titre"/>
    <w:uiPriority w:val="10"/>
    <w:rsid w:val="00A10FD9"/>
    <w:rPr>
      <w:rFonts w:ascii="Calibri" w:eastAsiaTheme="majorEastAsia" w:hAnsi="Calibri" w:cs="Calibri"/>
      <w:b/>
      <w:color w:val="1DB954"/>
      <w:sz w:val="40"/>
      <w:szCs w:val="56"/>
    </w:rPr>
  </w:style>
  <w:style w:type="paragraph" w:styleId="Sous-titre">
    <w:name w:val="Subtitle"/>
    <w:basedOn w:val="Titre"/>
    <w:next w:val="Corpsdetexte"/>
    <w:link w:val="Sous-titreCar"/>
    <w:uiPriority w:val="11"/>
    <w:qFormat/>
    <w:rsid w:val="00A10FD9"/>
    <w:pPr>
      <w:numPr>
        <w:ilvl w:val="1"/>
      </w:numPr>
    </w:pPr>
    <w:rPr>
      <w:color w:val="8A8A8A"/>
      <w:spacing w:val="15"/>
      <w:sz w:val="24"/>
      <w:szCs w:val="28"/>
    </w:rPr>
  </w:style>
  <w:style w:type="character" w:customStyle="1" w:styleId="Sous-titreCar">
    <w:name w:val="Sous-titre Car"/>
    <w:basedOn w:val="Policepardfaut"/>
    <w:link w:val="Sous-titre"/>
    <w:uiPriority w:val="11"/>
    <w:rsid w:val="00A10FD9"/>
    <w:rPr>
      <w:rFonts w:ascii="Calibri" w:eastAsiaTheme="majorEastAsia" w:hAnsi="Calibri" w:cs="Calibri"/>
      <w:b/>
      <w:color w:val="8A8A8A"/>
      <w:spacing w:val="15"/>
      <w:szCs w:val="28"/>
    </w:rPr>
  </w:style>
  <w:style w:type="paragraph" w:customStyle="1" w:styleId="Author">
    <w:name w:val="Author"/>
    <w:basedOn w:val="Titre"/>
    <w:next w:val="Corpsdetexte"/>
    <w:qFormat/>
    <w:pPr>
      <w:keepNext/>
      <w:keepLines/>
      <w:spacing w:after="40"/>
    </w:pPr>
    <w:rPr>
      <w:color w:val="8A8A8A"/>
      <w:sz w:val="20"/>
      <w:szCs w:val="24"/>
    </w:rPr>
  </w:style>
  <w:style w:type="paragraph" w:styleId="Date">
    <w:name w:val="Date"/>
    <w:basedOn w:val="Titre"/>
    <w:next w:val="Corpsdetexte"/>
    <w:qFormat/>
    <w:pPr>
      <w:keepNext/>
      <w:keepLines/>
      <w:spacing w:after="40"/>
    </w:pPr>
    <w:rPr>
      <w:color w:val="8A8A8A"/>
      <w:sz w:val="20"/>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Corpsdetexte"/>
    <w:qFormat/>
    <w:pPr>
      <w:keepNext/>
      <w:keepLines/>
      <w:spacing w:before="100" w:after="300"/>
    </w:pPr>
    <w:rPr>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Calibri" w:eastAsiaTheme="majorEastAsia" w:hAnsi="Calibri" w:cs="Calibri"/>
      <w:b/>
      <w:color w:val="1DB954"/>
      <w:sz w:val="32"/>
      <w:szCs w:val="40"/>
    </w:rPr>
  </w:style>
  <w:style w:type="character" w:customStyle="1" w:styleId="Titre2Car">
    <w:name w:val="Titre 2 Car"/>
    <w:basedOn w:val="Policepardfaut"/>
    <w:link w:val="Titre2"/>
    <w:uiPriority w:val="9"/>
    <w:semiHidden/>
    <w:rsid w:val="00A10FD9"/>
    <w:rPr>
      <w:rFonts w:ascii="Calibri" w:eastAsiaTheme="majorEastAsia" w:hAnsi="Calibri" w:cs="Calibri"/>
      <w:b/>
      <w:color w:val="191414"/>
      <w:szCs w:val="32"/>
    </w:rPr>
  </w:style>
  <w:style w:type="character" w:customStyle="1" w:styleId="Titre3Car">
    <w:name w:val="Titre 3 Car"/>
    <w:basedOn w:val="Policepardfaut"/>
    <w:link w:val="Titre3"/>
    <w:uiPriority w:val="9"/>
    <w:semiHidden/>
    <w:rsid w:val="00A10FD9"/>
    <w:rPr>
      <w:rFonts w:ascii="Calibri" w:eastAsiaTheme="majorEastAsia" w:hAnsi="Calibri" w:cs="Calibri"/>
      <w:b/>
      <w:color w:val="191414"/>
      <w:sz w:val="22"/>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unhideWhenUsed/>
    <w:rsid w:val="003C36B5"/>
    <w:pPr>
      <w:spacing w:after="100"/>
    </w:pPr>
  </w:style>
  <w:style w:type="paragraph" w:styleId="TM2">
    <w:name w:val="toc 2"/>
    <w:basedOn w:val="Normal"/>
    <w:next w:val="Normal"/>
    <w:autoRedefine/>
    <w:uiPriority w:val="39"/>
    <w:unhideWhenUsed/>
    <w:rsid w:val="003C36B5"/>
    <w:pPr>
      <w:spacing w:after="100"/>
      <w:ind w:left="200"/>
    </w:pPr>
  </w:style>
  <w:style w:type="paragraph" w:styleId="En-tte">
    <w:name w:val="header"/>
    <w:basedOn w:val="Normal"/>
    <w:link w:val="En-tteCar"/>
    <w:unhideWhenUsed/>
    <w:rsid w:val="003C36B5"/>
    <w:pPr>
      <w:tabs>
        <w:tab w:val="center" w:pos="4536"/>
        <w:tab w:val="right" w:pos="9072"/>
      </w:tabs>
      <w:spacing w:after="0"/>
    </w:pPr>
  </w:style>
  <w:style w:type="character" w:customStyle="1" w:styleId="En-tteCar">
    <w:name w:val="En-tête Car"/>
    <w:basedOn w:val="Policepardfaut"/>
    <w:link w:val="En-tte"/>
    <w:rsid w:val="003C36B5"/>
    <w:rPr>
      <w:rFonts w:ascii="Calibri" w:hAnsi="Calibri" w:cs="Calibri"/>
      <w:sz w:val="20"/>
    </w:rPr>
  </w:style>
  <w:style w:type="paragraph" w:styleId="Pieddepage">
    <w:name w:val="footer"/>
    <w:basedOn w:val="Normal"/>
    <w:link w:val="PieddepageCar"/>
    <w:unhideWhenUsed/>
    <w:rsid w:val="003C36B5"/>
    <w:pPr>
      <w:tabs>
        <w:tab w:val="center" w:pos="4536"/>
        <w:tab w:val="right" w:pos="9072"/>
      </w:tabs>
      <w:spacing w:after="0"/>
    </w:pPr>
  </w:style>
  <w:style w:type="character" w:customStyle="1" w:styleId="PieddepageCar">
    <w:name w:val="Pied de page Car"/>
    <w:basedOn w:val="Policepardfaut"/>
    <w:link w:val="Pieddepage"/>
    <w:rsid w:val="003C36B5"/>
    <w:rPr>
      <w:rFonts w:ascii="Calibri" w:hAnsi="Calibri"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5942</Words>
  <Characters>33575</Characters>
  <Application>Microsoft Office Word</Application>
  <DocSecurity>0</DocSecurity>
  <Lines>1063</Lines>
  <Paragraphs>691</Paragraphs>
  <ScaleCrop>false</ScaleCrop>
  <Company/>
  <LinksUpToDate>false</LinksUpToDate>
  <CharactersWithSpaces>38895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Data Governance — Spotify</dc:title>
  <dc:creator>Emeline ROBLOT — Data Governance Specialist</dc:creator>
  <cp:keywords/>
  <cp:lastModifiedBy>Emeline</cp:lastModifiedBy>
  <cp:revision>2</cp:revision>
  <dcterms:created xsi:type="dcterms:W3CDTF">2026-09-19T07:30:00Z</dcterms:created>
  <dcterms:modified xsi:type="dcterms:W3CDTF">2026-09-19T07:30:00Z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Septembre 2026 · Version 1.0</vt:lpwstr>
  </property>
  <property fmtid="{D5CDD505-2E9C-101B-9397-08002B2CF9AE}" pid="3" name="subtitle">
    <vt:lpwstr>Diagnostic de maturité · Politique de gouvernance · Organisation &amp; rôles · Plan d’implémentation et pilote</vt:lpwstr>
  </property>
</Properties>
</file>