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6EAA" w:rsidRDefault="00007354">
      <w:pPr>
        <w:pStyle w:val="Titre"/>
      </w:pPr>
      <w:bookmarkStart w:id="0" w:name="_GoBack"/>
      <w:bookmarkEnd w:id="0"/>
      <w:r>
        <w:t>Data Governance Policy — Spotify</w:t>
      </w:r>
    </w:p>
    <w:p w:rsidR="00F96EAA" w:rsidRDefault="00007354">
      <w:pPr>
        <w:pStyle w:val="Sous-titre"/>
      </w:pPr>
      <w:r>
        <w:t>Politique de gouvernance des données</w:t>
      </w:r>
    </w:p>
    <w:p w:rsidR="00F96EAA" w:rsidRDefault="00007354">
      <w:pPr>
        <w:pStyle w:val="Author"/>
      </w:pPr>
      <w:r>
        <w:t>Emeline ROBLOT — Data Governance Specialist</w:t>
      </w:r>
    </w:p>
    <w:p w:rsidR="00F96EAA" w:rsidRDefault="00007354">
      <w:pPr>
        <w:pStyle w:val="Date"/>
      </w:pPr>
      <w:r>
        <w:t>Septembre 2026</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502"/>
        <w:gridCol w:w="2788"/>
        <w:gridCol w:w="750"/>
        <w:gridCol w:w="1930"/>
        <w:gridCol w:w="3218"/>
      </w:tblGrid>
      <w:tr w:rsidR="00F96EAA" w:rsidRPr="00007354" w:rsidTr="00007354">
        <w:trPr>
          <w:cnfStyle w:val="100000000000" w:firstRow="1" w:lastRow="0" w:firstColumn="0" w:lastColumn="0" w:oddVBand="0" w:evenVBand="0" w:oddHBand="0" w:evenHBand="0" w:firstRowFirstColumn="0" w:firstRowLastColumn="0" w:lastRowFirstColumn="0" w:lastRowLastColumn="0"/>
          <w:tblHeader/>
        </w:trPr>
        <w:tc>
          <w:tcPr>
            <w:tcW w:w="1167"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Owner</w:t>
            </w:r>
          </w:p>
        </w:tc>
        <w:tc>
          <w:tcPr>
            <w:tcW w:w="2167"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Approbation</w:t>
            </w:r>
          </w:p>
        </w:tc>
        <w:tc>
          <w:tcPr>
            <w:tcW w:w="583"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Version</w:t>
            </w:r>
          </w:p>
        </w:tc>
        <w:tc>
          <w:tcPr>
            <w:tcW w:w="1500"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Date d’effet</w:t>
            </w:r>
          </w:p>
        </w:tc>
        <w:tc>
          <w:tcPr>
            <w:tcW w:w="2501"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Revue</w:t>
            </w:r>
          </w:p>
        </w:tc>
      </w:tr>
      <w:tr w:rsidR="00F96EAA" w:rsidRPr="00007354" w:rsidTr="00007354">
        <w:tc>
          <w:tcPr>
            <w:tcW w:w="1167" w:type="dxa"/>
            <w:shd w:val="clear" w:color="auto" w:fill="auto"/>
          </w:tcPr>
          <w:p w:rsidR="00F96EAA" w:rsidRPr="00007354" w:rsidRDefault="00007354" w:rsidP="00007354">
            <w:pPr>
              <w:pStyle w:val="Compact"/>
              <w:spacing w:before="20" w:after="20"/>
              <w:rPr>
                <w:sz w:val="16"/>
              </w:rPr>
            </w:pPr>
            <w:r w:rsidRPr="00007354">
              <w:rPr>
                <w:sz w:val="16"/>
              </w:rPr>
              <w:t>Chief Data Officer</w:t>
            </w:r>
          </w:p>
        </w:tc>
        <w:tc>
          <w:tcPr>
            <w:tcW w:w="2167" w:type="dxa"/>
            <w:shd w:val="clear" w:color="auto" w:fill="auto"/>
          </w:tcPr>
          <w:p w:rsidR="00F96EAA" w:rsidRPr="00007354" w:rsidRDefault="00007354" w:rsidP="00007354">
            <w:pPr>
              <w:pStyle w:val="Compact"/>
              <w:spacing w:before="20" w:after="20"/>
              <w:rPr>
                <w:sz w:val="16"/>
              </w:rPr>
            </w:pPr>
            <w:r w:rsidRPr="00007354">
              <w:rPr>
                <w:sz w:val="16"/>
              </w:rPr>
              <w:t>Data Governance Committee, avis DPO et Legal</w:t>
            </w:r>
          </w:p>
        </w:tc>
        <w:tc>
          <w:tcPr>
            <w:tcW w:w="583" w:type="dxa"/>
            <w:shd w:val="clear" w:color="auto" w:fill="auto"/>
          </w:tcPr>
          <w:p w:rsidR="00F96EAA" w:rsidRPr="00007354" w:rsidRDefault="00007354" w:rsidP="00007354">
            <w:pPr>
              <w:pStyle w:val="Compact"/>
              <w:spacing w:before="20" w:after="20"/>
              <w:rPr>
                <w:sz w:val="16"/>
              </w:rPr>
            </w:pPr>
            <w:r w:rsidRPr="00007354">
              <w:rPr>
                <w:sz w:val="16"/>
              </w:rPr>
              <w:t>1.0</w:t>
            </w:r>
          </w:p>
        </w:tc>
        <w:tc>
          <w:tcPr>
            <w:tcW w:w="1500" w:type="dxa"/>
            <w:shd w:val="clear" w:color="auto" w:fill="auto"/>
          </w:tcPr>
          <w:p w:rsidR="00F96EAA" w:rsidRPr="00007354" w:rsidRDefault="00007354" w:rsidP="00007354">
            <w:pPr>
              <w:pStyle w:val="Compact"/>
              <w:spacing w:before="20" w:after="20"/>
              <w:rPr>
                <w:sz w:val="16"/>
              </w:rPr>
            </w:pPr>
            <w:r w:rsidRPr="00007354">
              <w:rPr>
                <w:sz w:val="16"/>
              </w:rPr>
              <w:t>M1 du plan d’implémentation</w:t>
            </w:r>
          </w:p>
        </w:tc>
        <w:tc>
          <w:tcPr>
            <w:tcW w:w="2501" w:type="dxa"/>
            <w:shd w:val="clear" w:color="auto" w:fill="auto"/>
          </w:tcPr>
          <w:p w:rsidR="00F96EAA" w:rsidRPr="00007354" w:rsidRDefault="00007354" w:rsidP="00007354">
            <w:pPr>
              <w:pStyle w:val="Compact"/>
              <w:spacing w:before="20" w:after="20"/>
              <w:rPr>
                <w:sz w:val="16"/>
              </w:rPr>
            </w:pPr>
            <w:r w:rsidRPr="00007354">
              <w:rPr>
                <w:sz w:val="16"/>
              </w:rPr>
              <w:t>Annuelle, ou à tout changement réglementaire majeur</w:t>
            </w:r>
          </w:p>
        </w:tc>
      </w:tr>
    </w:tbl>
    <w:p w:rsidR="00F96EAA" w:rsidRDefault="00007354">
      <w:pPr>
        <w:pStyle w:val="Titre2"/>
      </w:pPr>
      <w:bookmarkStart w:id="1" w:name="objet-et-champ-dapplication"/>
      <w:r>
        <w:t>1. Objet et champ d’application</w:t>
      </w:r>
    </w:p>
    <w:p w:rsidR="00F96EAA" w:rsidRDefault="00007354">
      <w:pPr>
        <w:pStyle w:val="FirstParagraph"/>
      </w:pPr>
      <w:r>
        <w:rPr>
          <w:b/>
          <w:bCs/>
        </w:rPr>
        <w:t>Objet.</w:t>
      </w:r>
      <w:r>
        <w:t xml:space="preserve"> </w:t>
      </w:r>
      <w:r>
        <w:t>Cette politique définit comment Spotify gouverne ses données pour atteindre les quatre objectifs du business case : qualité des données, conformité réglementaire (GDPR, CCPA/CPRA, PCI-DSS, réglementations locales), protection de la vie privée, accessibilit</w:t>
      </w:r>
      <w:r>
        <w:t>é et intégration des données entre départements.</w:t>
      </w:r>
    </w:p>
    <w:p w:rsidR="00F96EAA" w:rsidRDefault="00007354">
      <w:pPr>
        <w:pStyle w:val="Corpsdetexte"/>
      </w:pPr>
      <w:r>
        <w:rPr>
          <w:b/>
          <w:bCs/>
        </w:rPr>
        <w:t>Champ d’application.</w:t>
      </w:r>
      <w:r>
        <w:t xml:space="preserve"> Elle s’applique à tous les employés, prestataires et systèmes qui collectent, stockent, traitent ou partagent des données Spotify, dans les 180+ pays d’opération. Elle couvre les cinq do</w:t>
      </w:r>
      <w:r>
        <w:t>maines de données et leurs owners :</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273"/>
        <w:gridCol w:w="4670"/>
        <w:gridCol w:w="1486"/>
        <w:gridCol w:w="2759"/>
      </w:tblGrid>
      <w:tr w:rsidR="00F96EAA" w:rsidRPr="00007354" w:rsidTr="00007354">
        <w:trPr>
          <w:cnfStyle w:val="100000000000" w:firstRow="1" w:lastRow="0" w:firstColumn="0" w:lastColumn="0" w:oddVBand="0" w:evenVBand="0" w:oddHBand="0" w:evenHBand="0" w:firstRowFirstColumn="0" w:firstRowLastColumn="0" w:lastRowFirstColumn="0" w:lastRowLastColumn="0"/>
          <w:tblHeader/>
        </w:trPr>
        <w:tc>
          <w:tcPr>
            <w:tcW w:w="990"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Domaine</w:t>
            </w:r>
          </w:p>
        </w:tc>
        <w:tc>
          <w:tcPr>
            <w:tcW w:w="3630"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Données</w:t>
            </w:r>
          </w:p>
        </w:tc>
        <w:tc>
          <w:tcPr>
            <w:tcW w:w="1155"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Data Steward</w:t>
            </w:r>
          </w:p>
        </w:tc>
        <w:tc>
          <w:tcPr>
            <w:tcW w:w="2145"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Criticité</w:t>
            </w:r>
          </w:p>
        </w:tc>
      </w:tr>
      <w:tr w:rsidR="00F96EAA" w:rsidRPr="00007354" w:rsidTr="00007354">
        <w:tc>
          <w:tcPr>
            <w:tcW w:w="990" w:type="dxa"/>
            <w:shd w:val="clear" w:color="auto" w:fill="auto"/>
          </w:tcPr>
          <w:p w:rsidR="00F96EAA" w:rsidRPr="00007354" w:rsidRDefault="00007354" w:rsidP="00007354">
            <w:pPr>
              <w:pStyle w:val="Compact"/>
              <w:spacing w:before="20" w:after="20"/>
              <w:rPr>
                <w:sz w:val="16"/>
              </w:rPr>
            </w:pPr>
            <w:r w:rsidRPr="00007354">
              <w:rPr>
                <w:b/>
                <w:bCs/>
                <w:sz w:val="16"/>
              </w:rPr>
              <w:t>User Data</w:t>
            </w:r>
          </w:p>
        </w:tc>
        <w:tc>
          <w:tcPr>
            <w:tcW w:w="3630" w:type="dxa"/>
            <w:shd w:val="clear" w:color="auto" w:fill="auto"/>
          </w:tcPr>
          <w:p w:rsidR="00F96EAA" w:rsidRPr="00007354" w:rsidRDefault="00007354" w:rsidP="00007354">
            <w:pPr>
              <w:pStyle w:val="Compact"/>
              <w:spacing w:before="20" w:after="20"/>
              <w:rPr>
                <w:sz w:val="16"/>
              </w:rPr>
            </w:pPr>
            <w:r w:rsidRPr="00007354">
              <w:rPr>
                <w:sz w:val="16"/>
              </w:rPr>
              <w:t>Profils, historiques d’écoute, recherches, playlists, localisation</w:t>
            </w:r>
          </w:p>
        </w:tc>
        <w:tc>
          <w:tcPr>
            <w:tcW w:w="1155" w:type="dxa"/>
            <w:shd w:val="clear" w:color="auto" w:fill="auto"/>
          </w:tcPr>
          <w:p w:rsidR="00F96EAA" w:rsidRPr="00007354" w:rsidRDefault="00007354" w:rsidP="00007354">
            <w:pPr>
              <w:pStyle w:val="Compact"/>
              <w:spacing w:before="20" w:after="20"/>
              <w:rPr>
                <w:sz w:val="16"/>
              </w:rPr>
            </w:pPr>
            <w:r w:rsidRPr="00007354">
              <w:rPr>
                <w:sz w:val="16"/>
              </w:rPr>
              <w:t>Steward User</w:t>
            </w:r>
          </w:p>
        </w:tc>
        <w:tc>
          <w:tcPr>
            <w:tcW w:w="2145" w:type="dxa"/>
            <w:shd w:val="clear" w:color="auto" w:fill="auto"/>
          </w:tcPr>
          <w:p w:rsidR="00F96EAA" w:rsidRPr="00007354" w:rsidRDefault="00007354" w:rsidP="00007354">
            <w:pPr>
              <w:pStyle w:val="Compact"/>
              <w:spacing w:before="20" w:after="20"/>
              <w:rPr>
                <w:sz w:val="16"/>
              </w:rPr>
            </w:pPr>
            <w:r w:rsidRPr="00007354">
              <w:rPr>
                <w:sz w:val="16"/>
              </w:rPr>
              <w:t>Très haute — GDPR, recommandation</w:t>
            </w:r>
          </w:p>
        </w:tc>
      </w:tr>
      <w:tr w:rsidR="00F96EAA" w:rsidRPr="00007354" w:rsidTr="00007354">
        <w:tc>
          <w:tcPr>
            <w:tcW w:w="990" w:type="dxa"/>
            <w:shd w:val="clear" w:color="auto" w:fill="auto"/>
          </w:tcPr>
          <w:p w:rsidR="00F96EAA" w:rsidRPr="00007354" w:rsidRDefault="00007354" w:rsidP="00007354">
            <w:pPr>
              <w:pStyle w:val="Compact"/>
              <w:spacing w:before="20" w:after="20"/>
              <w:rPr>
                <w:sz w:val="16"/>
              </w:rPr>
            </w:pPr>
            <w:r w:rsidRPr="00007354">
              <w:rPr>
                <w:b/>
                <w:bCs/>
                <w:sz w:val="16"/>
              </w:rPr>
              <w:t>Content</w:t>
            </w:r>
          </w:p>
        </w:tc>
        <w:tc>
          <w:tcPr>
            <w:tcW w:w="3630" w:type="dxa"/>
            <w:shd w:val="clear" w:color="auto" w:fill="auto"/>
          </w:tcPr>
          <w:p w:rsidR="00F96EAA" w:rsidRPr="00007354" w:rsidRDefault="00007354" w:rsidP="00007354">
            <w:pPr>
              <w:pStyle w:val="Compact"/>
              <w:spacing w:before="20" w:after="20"/>
              <w:rPr>
                <w:sz w:val="16"/>
              </w:rPr>
            </w:pPr>
            <w:r w:rsidRPr="00007354">
              <w:rPr>
                <w:sz w:val="16"/>
              </w:rPr>
              <w:t>Métadonnées musicales et podcasts (ISRC, artist</w:t>
            </w:r>
            <w:r w:rsidRPr="00007354">
              <w:rPr>
                <w:sz w:val="16"/>
              </w:rPr>
              <w:t>es, droits)</w:t>
            </w:r>
          </w:p>
        </w:tc>
        <w:tc>
          <w:tcPr>
            <w:tcW w:w="1155" w:type="dxa"/>
            <w:shd w:val="clear" w:color="auto" w:fill="auto"/>
          </w:tcPr>
          <w:p w:rsidR="00F96EAA" w:rsidRPr="00007354" w:rsidRDefault="00007354" w:rsidP="00007354">
            <w:pPr>
              <w:pStyle w:val="Compact"/>
              <w:spacing w:before="20" w:after="20"/>
              <w:rPr>
                <w:sz w:val="16"/>
              </w:rPr>
            </w:pPr>
            <w:r w:rsidRPr="00007354">
              <w:rPr>
                <w:sz w:val="16"/>
              </w:rPr>
              <w:t>Steward Content</w:t>
            </w:r>
          </w:p>
        </w:tc>
        <w:tc>
          <w:tcPr>
            <w:tcW w:w="2145" w:type="dxa"/>
            <w:shd w:val="clear" w:color="auto" w:fill="auto"/>
          </w:tcPr>
          <w:p w:rsidR="00F96EAA" w:rsidRPr="00007354" w:rsidRDefault="00007354" w:rsidP="00007354">
            <w:pPr>
              <w:pStyle w:val="Compact"/>
              <w:spacing w:before="20" w:after="20"/>
              <w:rPr>
                <w:sz w:val="16"/>
              </w:rPr>
            </w:pPr>
            <w:r w:rsidRPr="00007354">
              <w:rPr>
                <w:sz w:val="16"/>
              </w:rPr>
              <w:t>Haute — recommandation, royalties</w:t>
            </w:r>
          </w:p>
        </w:tc>
      </w:tr>
      <w:tr w:rsidR="00F96EAA" w:rsidRPr="00007354" w:rsidTr="00007354">
        <w:tc>
          <w:tcPr>
            <w:tcW w:w="990" w:type="dxa"/>
            <w:shd w:val="clear" w:color="auto" w:fill="auto"/>
          </w:tcPr>
          <w:p w:rsidR="00F96EAA" w:rsidRPr="00007354" w:rsidRDefault="00007354" w:rsidP="00007354">
            <w:pPr>
              <w:pStyle w:val="Compact"/>
              <w:spacing w:before="20" w:after="20"/>
              <w:rPr>
                <w:sz w:val="16"/>
              </w:rPr>
            </w:pPr>
            <w:r w:rsidRPr="00007354">
              <w:rPr>
                <w:b/>
                <w:bCs/>
                <w:sz w:val="16"/>
              </w:rPr>
              <w:t>Payments</w:t>
            </w:r>
          </w:p>
        </w:tc>
        <w:tc>
          <w:tcPr>
            <w:tcW w:w="3630" w:type="dxa"/>
            <w:shd w:val="clear" w:color="auto" w:fill="auto"/>
          </w:tcPr>
          <w:p w:rsidR="00F96EAA" w:rsidRPr="00007354" w:rsidRDefault="00007354" w:rsidP="00007354">
            <w:pPr>
              <w:pStyle w:val="Compact"/>
              <w:spacing w:before="20" w:after="20"/>
              <w:rPr>
                <w:sz w:val="16"/>
              </w:rPr>
            </w:pPr>
            <w:r w:rsidRPr="00007354">
              <w:rPr>
                <w:sz w:val="16"/>
              </w:rPr>
              <w:t>Abonnements, transactions, facturation</w:t>
            </w:r>
          </w:p>
        </w:tc>
        <w:tc>
          <w:tcPr>
            <w:tcW w:w="1155" w:type="dxa"/>
            <w:shd w:val="clear" w:color="auto" w:fill="auto"/>
          </w:tcPr>
          <w:p w:rsidR="00F96EAA" w:rsidRPr="00007354" w:rsidRDefault="00007354" w:rsidP="00007354">
            <w:pPr>
              <w:pStyle w:val="Compact"/>
              <w:spacing w:before="20" w:after="20"/>
              <w:rPr>
                <w:sz w:val="16"/>
              </w:rPr>
            </w:pPr>
            <w:r w:rsidRPr="00007354">
              <w:rPr>
                <w:sz w:val="16"/>
              </w:rPr>
              <w:t>Steward Payments</w:t>
            </w:r>
          </w:p>
        </w:tc>
        <w:tc>
          <w:tcPr>
            <w:tcW w:w="2145" w:type="dxa"/>
            <w:shd w:val="clear" w:color="auto" w:fill="auto"/>
          </w:tcPr>
          <w:p w:rsidR="00F96EAA" w:rsidRPr="00007354" w:rsidRDefault="00007354" w:rsidP="00007354">
            <w:pPr>
              <w:pStyle w:val="Compact"/>
              <w:spacing w:before="20" w:after="20"/>
              <w:rPr>
                <w:sz w:val="16"/>
              </w:rPr>
            </w:pPr>
            <w:r w:rsidRPr="00007354">
              <w:rPr>
                <w:sz w:val="16"/>
              </w:rPr>
              <w:t>Très haute — PCI-DSS</w:t>
            </w:r>
          </w:p>
        </w:tc>
      </w:tr>
      <w:tr w:rsidR="00F96EAA" w:rsidRPr="00007354" w:rsidTr="00007354">
        <w:tc>
          <w:tcPr>
            <w:tcW w:w="990" w:type="dxa"/>
            <w:shd w:val="clear" w:color="auto" w:fill="auto"/>
          </w:tcPr>
          <w:p w:rsidR="00F96EAA" w:rsidRPr="00007354" w:rsidRDefault="00007354" w:rsidP="00007354">
            <w:pPr>
              <w:pStyle w:val="Compact"/>
              <w:spacing w:before="20" w:after="20"/>
              <w:rPr>
                <w:sz w:val="16"/>
              </w:rPr>
            </w:pPr>
            <w:r w:rsidRPr="00007354">
              <w:rPr>
                <w:b/>
                <w:bCs/>
                <w:sz w:val="16"/>
              </w:rPr>
              <w:t>Ads</w:t>
            </w:r>
          </w:p>
        </w:tc>
        <w:tc>
          <w:tcPr>
            <w:tcW w:w="3630" w:type="dxa"/>
            <w:shd w:val="clear" w:color="auto" w:fill="auto"/>
          </w:tcPr>
          <w:p w:rsidR="00F96EAA" w:rsidRPr="00007354" w:rsidRDefault="00007354" w:rsidP="00007354">
            <w:pPr>
              <w:pStyle w:val="Compact"/>
              <w:spacing w:before="20" w:after="20"/>
              <w:rPr>
                <w:sz w:val="16"/>
              </w:rPr>
            </w:pPr>
            <w:r w:rsidRPr="00007354">
              <w:rPr>
                <w:sz w:val="16"/>
              </w:rPr>
              <w:t>Campagnes, ciblage, impressions, segments</w:t>
            </w:r>
          </w:p>
        </w:tc>
        <w:tc>
          <w:tcPr>
            <w:tcW w:w="1155" w:type="dxa"/>
            <w:shd w:val="clear" w:color="auto" w:fill="auto"/>
          </w:tcPr>
          <w:p w:rsidR="00F96EAA" w:rsidRPr="00007354" w:rsidRDefault="00007354" w:rsidP="00007354">
            <w:pPr>
              <w:pStyle w:val="Compact"/>
              <w:spacing w:before="20" w:after="20"/>
              <w:rPr>
                <w:sz w:val="16"/>
              </w:rPr>
            </w:pPr>
            <w:r w:rsidRPr="00007354">
              <w:rPr>
                <w:sz w:val="16"/>
              </w:rPr>
              <w:t>Steward Ads</w:t>
            </w:r>
          </w:p>
        </w:tc>
        <w:tc>
          <w:tcPr>
            <w:tcW w:w="2145" w:type="dxa"/>
            <w:shd w:val="clear" w:color="auto" w:fill="auto"/>
          </w:tcPr>
          <w:p w:rsidR="00F96EAA" w:rsidRPr="00007354" w:rsidRDefault="00007354" w:rsidP="00007354">
            <w:pPr>
              <w:pStyle w:val="Compact"/>
              <w:spacing w:before="20" w:after="20"/>
              <w:rPr>
                <w:sz w:val="16"/>
              </w:rPr>
            </w:pPr>
            <w:r w:rsidRPr="00007354">
              <w:rPr>
                <w:sz w:val="16"/>
              </w:rPr>
              <w:t>Haute — opt-out CCPA</w:t>
            </w:r>
          </w:p>
        </w:tc>
      </w:tr>
      <w:tr w:rsidR="00F96EAA" w:rsidRPr="00007354" w:rsidTr="00007354">
        <w:tc>
          <w:tcPr>
            <w:tcW w:w="990" w:type="dxa"/>
            <w:shd w:val="clear" w:color="auto" w:fill="auto"/>
          </w:tcPr>
          <w:p w:rsidR="00F96EAA" w:rsidRPr="00007354" w:rsidRDefault="00007354" w:rsidP="00007354">
            <w:pPr>
              <w:pStyle w:val="Compact"/>
              <w:spacing w:before="20" w:after="20"/>
              <w:rPr>
                <w:sz w:val="16"/>
              </w:rPr>
            </w:pPr>
            <w:r w:rsidRPr="00007354">
              <w:rPr>
                <w:b/>
                <w:bCs/>
                <w:sz w:val="16"/>
              </w:rPr>
              <w:t>Marketing</w:t>
            </w:r>
          </w:p>
        </w:tc>
        <w:tc>
          <w:tcPr>
            <w:tcW w:w="3630" w:type="dxa"/>
            <w:shd w:val="clear" w:color="auto" w:fill="auto"/>
          </w:tcPr>
          <w:p w:rsidR="00F96EAA" w:rsidRPr="00007354" w:rsidRDefault="00007354" w:rsidP="00007354">
            <w:pPr>
              <w:pStyle w:val="Compact"/>
              <w:spacing w:before="20" w:after="20"/>
              <w:rPr>
                <w:sz w:val="16"/>
              </w:rPr>
            </w:pPr>
            <w:r w:rsidRPr="00007354">
              <w:rPr>
                <w:sz w:val="16"/>
              </w:rPr>
              <w:t>Engagement, segmentation, conversion free → premium</w:t>
            </w:r>
          </w:p>
        </w:tc>
        <w:tc>
          <w:tcPr>
            <w:tcW w:w="1155" w:type="dxa"/>
            <w:shd w:val="clear" w:color="auto" w:fill="auto"/>
          </w:tcPr>
          <w:p w:rsidR="00F96EAA" w:rsidRPr="00007354" w:rsidRDefault="00007354" w:rsidP="00007354">
            <w:pPr>
              <w:pStyle w:val="Compact"/>
              <w:spacing w:before="20" w:after="20"/>
              <w:rPr>
                <w:sz w:val="16"/>
              </w:rPr>
            </w:pPr>
            <w:r w:rsidRPr="00007354">
              <w:rPr>
                <w:sz w:val="16"/>
              </w:rPr>
              <w:t>Steward Marketing</w:t>
            </w:r>
          </w:p>
        </w:tc>
        <w:tc>
          <w:tcPr>
            <w:tcW w:w="2145" w:type="dxa"/>
            <w:shd w:val="clear" w:color="auto" w:fill="auto"/>
          </w:tcPr>
          <w:p w:rsidR="00F96EAA" w:rsidRPr="00007354" w:rsidRDefault="00007354" w:rsidP="00007354">
            <w:pPr>
              <w:pStyle w:val="Compact"/>
              <w:spacing w:before="20" w:after="20"/>
              <w:rPr>
                <w:sz w:val="16"/>
              </w:rPr>
            </w:pPr>
            <w:r w:rsidRPr="00007354">
              <w:rPr>
                <w:sz w:val="16"/>
              </w:rPr>
              <w:t>Haute — croissance</w:t>
            </w:r>
          </w:p>
        </w:tc>
      </w:tr>
    </w:tbl>
    <w:p w:rsidR="00F96EAA" w:rsidRDefault="00007354">
      <w:pPr>
        <w:pStyle w:val="Corpsdetexte"/>
      </w:pPr>
      <w:r>
        <w:rPr>
          <w:b/>
          <w:bCs/>
        </w:rPr>
        <w:t>Définitions.</w:t>
      </w:r>
      <w:r>
        <w:t xml:space="preserve"> </w:t>
      </w:r>
      <w:r>
        <w:rPr>
          <w:i/>
          <w:iCs/>
        </w:rPr>
        <w:t>Donnée personnelle</w:t>
      </w:r>
      <w:r>
        <w:t xml:space="preserve"> : toute information relative à une personne identifiable (GDPR art. 4). </w:t>
      </w:r>
      <w:r>
        <w:rPr>
          <w:i/>
          <w:iCs/>
        </w:rPr>
        <w:t>Donnée sensible</w:t>
      </w:r>
      <w:r>
        <w:t xml:space="preserve"> : catégories de l’art. 9 GDPR, y compris les i</w:t>
      </w:r>
      <w:r>
        <w:t xml:space="preserve">nformations </w:t>
      </w:r>
      <w:r>
        <w:rPr>
          <w:b/>
          <w:bCs/>
        </w:rPr>
        <w:t>inférées</w:t>
      </w:r>
      <w:r>
        <w:t xml:space="preserve"> (humeur, convictions, santé déduites des écoutes). </w:t>
      </w:r>
      <w:r>
        <w:rPr>
          <w:i/>
          <w:iCs/>
        </w:rPr>
        <w:t>Data Owner</w:t>
      </w:r>
      <w:r>
        <w:t xml:space="preserve"> : responsable métier d’un domaine. </w:t>
      </w:r>
      <w:r>
        <w:rPr>
          <w:i/>
          <w:iCs/>
        </w:rPr>
        <w:t>Data Steward</w:t>
      </w:r>
      <w:r>
        <w:t xml:space="preserve"> : garant opérationnel de la qualité et de la conformité d’un domaine. </w:t>
      </w:r>
      <w:r>
        <w:rPr>
          <w:i/>
          <w:iCs/>
        </w:rPr>
        <w:t>Traitement</w:t>
      </w:r>
      <w:r>
        <w:t xml:space="preserve"> </w:t>
      </w:r>
      <w:r>
        <w:t>: toute opération sur des données personnelles.</w:t>
      </w:r>
    </w:p>
    <w:p w:rsidR="00F96EAA" w:rsidRDefault="00007354">
      <w:pPr>
        <w:pStyle w:val="Titre2"/>
      </w:pPr>
      <w:bookmarkStart w:id="2" w:name="principes-governance-principles-guide"/>
      <w:bookmarkEnd w:id="1"/>
      <w:r>
        <w:t>2. Principes (Governance Principles Guide)</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18"/>
        <w:gridCol w:w="1910"/>
        <w:gridCol w:w="7960"/>
      </w:tblGrid>
      <w:tr w:rsidR="00F96EAA" w:rsidRPr="00007354" w:rsidTr="00007354">
        <w:trPr>
          <w:cnfStyle w:val="100000000000" w:firstRow="1" w:lastRow="0" w:firstColumn="0" w:lastColumn="0" w:oddVBand="0" w:evenVBand="0" w:oddHBand="0" w:evenHBand="0" w:firstRowFirstColumn="0" w:firstRowLastColumn="0" w:lastRowFirstColumn="0" w:lastRowLastColumn="0"/>
          <w:tblHeader/>
        </w:trPr>
        <w:tc>
          <w:tcPr>
            <w:tcW w:w="247"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w:t>
            </w:r>
          </w:p>
        </w:tc>
        <w:tc>
          <w:tcPr>
            <w:tcW w:w="1485"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Principe</w:t>
            </w:r>
          </w:p>
        </w:tc>
        <w:tc>
          <w:tcPr>
            <w:tcW w:w="6187"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Engagement Spotify</w:t>
            </w:r>
          </w:p>
        </w:tc>
      </w:tr>
      <w:tr w:rsidR="00F96EAA" w:rsidRPr="00007354" w:rsidTr="00007354">
        <w:tc>
          <w:tcPr>
            <w:tcW w:w="247" w:type="dxa"/>
            <w:shd w:val="clear" w:color="auto" w:fill="auto"/>
          </w:tcPr>
          <w:p w:rsidR="00F96EAA" w:rsidRPr="00007354" w:rsidRDefault="00007354" w:rsidP="00007354">
            <w:pPr>
              <w:pStyle w:val="Compact"/>
              <w:spacing w:before="20" w:after="20"/>
              <w:rPr>
                <w:sz w:val="16"/>
              </w:rPr>
            </w:pPr>
            <w:r w:rsidRPr="00007354">
              <w:rPr>
                <w:sz w:val="16"/>
              </w:rPr>
              <w:t>1</w:t>
            </w:r>
          </w:p>
        </w:tc>
        <w:tc>
          <w:tcPr>
            <w:tcW w:w="1485" w:type="dxa"/>
            <w:shd w:val="clear" w:color="auto" w:fill="auto"/>
          </w:tcPr>
          <w:p w:rsidR="00F96EAA" w:rsidRPr="00007354" w:rsidRDefault="00007354" w:rsidP="00007354">
            <w:pPr>
              <w:pStyle w:val="Compact"/>
              <w:spacing w:before="20" w:after="20"/>
              <w:rPr>
                <w:sz w:val="16"/>
              </w:rPr>
            </w:pPr>
            <w:r w:rsidRPr="00007354">
              <w:rPr>
                <w:sz w:val="16"/>
              </w:rPr>
              <w:t>Accountability</w:t>
            </w:r>
          </w:p>
        </w:tc>
        <w:tc>
          <w:tcPr>
            <w:tcW w:w="6187" w:type="dxa"/>
            <w:shd w:val="clear" w:color="auto" w:fill="auto"/>
          </w:tcPr>
          <w:p w:rsidR="00F96EAA" w:rsidRPr="00007354" w:rsidRDefault="00007354" w:rsidP="00007354">
            <w:pPr>
              <w:pStyle w:val="Compact"/>
              <w:spacing w:before="20" w:after="20"/>
              <w:rPr>
                <w:sz w:val="16"/>
              </w:rPr>
            </w:pPr>
            <w:r w:rsidRPr="00007354">
              <w:rPr>
                <w:sz w:val="16"/>
              </w:rPr>
              <w:t>Un owner et un steward nommés par domaine ; RACI publié</w:t>
            </w:r>
          </w:p>
        </w:tc>
      </w:tr>
      <w:tr w:rsidR="00F96EAA" w:rsidRPr="00007354" w:rsidTr="00007354">
        <w:tc>
          <w:tcPr>
            <w:tcW w:w="247" w:type="dxa"/>
            <w:shd w:val="clear" w:color="auto" w:fill="auto"/>
          </w:tcPr>
          <w:p w:rsidR="00F96EAA" w:rsidRPr="00007354" w:rsidRDefault="00007354" w:rsidP="00007354">
            <w:pPr>
              <w:pStyle w:val="Compact"/>
              <w:spacing w:before="20" w:after="20"/>
              <w:rPr>
                <w:sz w:val="16"/>
              </w:rPr>
            </w:pPr>
            <w:r w:rsidRPr="00007354">
              <w:rPr>
                <w:sz w:val="16"/>
              </w:rPr>
              <w:t>2</w:t>
            </w:r>
          </w:p>
        </w:tc>
        <w:tc>
          <w:tcPr>
            <w:tcW w:w="1485" w:type="dxa"/>
            <w:shd w:val="clear" w:color="auto" w:fill="auto"/>
          </w:tcPr>
          <w:p w:rsidR="00F96EAA" w:rsidRPr="00007354" w:rsidRDefault="00007354" w:rsidP="00007354">
            <w:pPr>
              <w:pStyle w:val="Compact"/>
              <w:spacing w:before="20" w:after="20"/>
              <w:rPr>
                <w:sz w:val="16"/>
              </w:rPr>
            </w:pPr>
            <w:r w:rsidRPr="00007354">
              <w:rPr>
                <w:sz w:val="16"/>
              </w:rPr>
              <w:t>Transparency</w:t>
            </w:r>
          </w:p>
        </w:tc>
        <w:tc>
          <w:tcPr>
            <w:tcW w:w="6187" w:type="dxa"/>
            <w:shd w:val="clear" w:color="auto" w:fill="auto"/>
          </w:tcPr>
          <w:p w:rsidR="00F96EAA" w:rsidRPr="00007354" w:rsidRDefault="00007354" w:rsidP="00007354">
            <w:pPr>
              <w:pStyle w:val="Compact"/>
              <w:spacing w:before="20" w:after="20"/>
              <w:rPr>
                <w:sz w:val="16"/>
              </w:rPr>
            </w:pPr>
            <w:r w:rsidRPr="00007354">
              <w:rPr>
                <w:sz w:val="16"/>
              </w:rPr>
              <w:t>Privacy notice claire par finalité ; consentement granulaire ; information sur durées de conservation et transferts (point sanctionné par l’IMY en 2023)</w:t>
            </w:r>
          </w:p>
        </w:tc>
      </w:tr>
      <w:tr w:rsidR="00F96EAA" w:rsidRPr="00007354" w:rsidTr="00007354">
        <w:tc>
          <w:tcPr>
            <w:tcW w:w="247" w:type="dxa"/>
            <w:shd w:val="clear" w:color="auto" w:fill="auto"/>
          </w:tcPr>
          <w:p w:rsidR="00F96EAA" w:rsidRPr="00007354" w:rsidRDefault="00007354" w:rsidP="00007354">
            <w:pPr>
              <w:pStyle w:val="Compact"/>
              <w:spacing w:before="20" w:after="20"/>
              <w:rPr>
                <w:sz w:val="16"/>
              </w:rPr>
            </w:pPr>
            <w:r w:rsidRPr="00007354">
              <w:rPr>
                <w:sz w:val="16"/>
              </w:rPr>
              <w:t>3</w:t>
            </w:r>
          </w:p>
        </w:tc>
        <w:tc>
          <w:tcPr>
            <w:tcW w:w="1485" w:type="dxa"/>
            <w:shd w:val="clear" w:color="auto" w:fill="auto"/>
          </w:tcPr>
          <w:p w:rsidR="00F96EAA" w:rsidRPr="00007354" w:rsidRDefault="00007354" w:rsidP="00007354">
            <w:pPr>
              <w:pStyle w:val="Compact"/>
              <w:spacing w:before="20" w:after="20"/>
              <w:rPr>
                <w:sz w:val="16"/>
              </w:rPr>
            </w:pPr>
            <w:r w:rsidRPr="00007354">
              <w:rPr>
                <w:sz w:val="16"/>
              </w:rPr>
              <w:t>Data Security</w:t>
            </w:r>
          </w:p>
        </w:tc>
        <w:tc>
          <w:tcPr>
            <w:tcW w:w="6187" w:type="dxa"/>
            <w:shd w:val="clear" w:color="auto" w:fill="auto"/>
          </w:tcPr>
          <w:p w:rsidR="00F96EAA" w:rsidRPr="00007354" w:rsidRDefault="00007354" w:rsidP="00007354">
            <w:pPr>
              <w:pStyle w:val="Compact"/>
              <w:spacing w:before="20" w:after="20"/>
              <w:rPr>
                <w:sz w:val="16"/>
              </w:rPr>
            </w:pPr>
            <w:r w:rsidRPr="00007354">
              <w:rPr>
                <w:sz w:val="16"/>
              </w:rPr>
              <w:t>Chiffrement, contrôle d’accès par rôle, SIEM, protocole d’incident</w:t>
            </w:r>
          </w:p>
        </w:tc>
      </w:tr>
      <w:tr w:rsidR="00F96EAA" w:rsidRPr="00007354" w:rsidTr="00007354">
        <w:tc>
          <w:tcPr>
            <w:tcW w:w="247" w:type="dxa"/>
            <w:shd w:val="clear" w:color="auto" w:fill="auto"/>
          </w:tcPr>
          <w:p w:rsidR="00F96EAA" w:rsidRPr="00007354" w:rsidRDefault="00007354" w:rsidP="00007354">
            <w:pPr>
              <w:pStyle w:val="Compact"/>
              <w:spacing w:before="20" w:after="20"/>
              <w:rPr>
                <w:sz w:val="16"/>
              </w:rPr>
            </w:pPr>
            <w:r w:rsidRPr="00007354">
              <w:rPr>
                <w:sz w:val="16"/>
              </w:rPr>
              <w:t>4</w:t>
            </w:r>
          </w:p>
        </w:tc>
        <w:tc>
          <w:tcPr>
            <w:tcW w:w="1485" w:type="dxa"/>
            <w:shd w:val="clear" w:color="auto" w:fill="auto"/>
          </w:tcPr>
          <w:p w:rsidR="00F96EAA" w:rsidRPr="00007354" w:rsidRDefault="00007354" w:rsidP="00007354">
            <w:pPr>
              <w:pStyle w:val="Compact"/>
              <w:spacing w:before="20" w:after="20"/>
              <w:rPr>
                <w:sz w:val="16"/>
              </w:rPr>
            </w:pPr>
            <w:r w:rsidRPr="00007354">
              <w:rPr>
                <w:sz w:val="16"/>
              </w:rPr>
              <w:t>Data Quality</w:t>
            </w:r>
          </w:p>
        </w:tc>
        <w:tc>
          <w:tcPr>
            <w:tcW w:w="6187" w:type="dxa"/>
            <w:shd w:val="clear" w:color="auto" w:fill="auto"/>
          </w:tcPr>
          <w:p w:rsidR="00F96EAA" w:rsidRPr="00007354" w:rsidRDefault="00007354" w:rsidP="00007354">
            <w:pPr>
              <w:pStyle w:val="Compact"/>
              <w:spacing w:before="20" w:after="20"/>
              <w:rPr>
                <w:sz w:val="16"/>
              </w:rPr>
            </w:pPr>
            <w:r w:rsidRPr="00007354">
              <w:rPr>
                <w:sz w:val="16"/>
              </w:rPr>
              <w:t>4 c</w:t>
            </w:r>
            <w:r w:rsidRPr="00007354">
              <w:rPr>
                <w:sz w:val="16"/>
              </w:rPr>
              <w:t>ritères mesurés par domaine, audits réguliers</w:t>
            </w:r>
          </w:p>
        </w:tc>
      </w:tr>
      <w:tr w:rsidR="00F96EAA" w:rsidRPr="00007354" w:rsidTr="00007354">
        <w:tc>
          <w:tcPr>
            <w:tcW w:w="247" w:type="dxa"/>
            <w:shd w:val="clear" w:color="auto" w:fill="auto"/>
          </w:tcPr>
          <w:p w:rsidR="00F96EAA" w:rsidRPr="00007354" w:rsidRDefault="00007354" w:rsidP="00007354">
            <w:pPr>
              <w:pStyle w:val="Compact"/>
              <w:spacing w:before="20" w:after="20"/>
              <w:rPr>
                <w:sz w:val="16"/>
              </w:rPr>
            </w:pPr>
            <w:r w:rsidRPr="00007354">
              <w:rPr>
                <w:sz w:val="16"/>
              </w:rPr>
              <w:t>5</w:t>
            </w:r>
          </w:p>
        </w:tc>
        <w:tc>
          <w:tcPr>
            <w:tcW w:w="1485" w:type="dxa"/>
            <w:shd w:val="clear" w:color="auto" w:fill="auto"/>
          </w:tcPr>
          <w:p w:rsidR="00F96EAA" w:rsidRPr="00007354" w:rsidRDefault="00007354" w:rsidP="00007354">
            <w:pPr>
              <w:pStyle w:val="Compact"/>
              <w:spacing w:before="20" w:after="20"/>
              <w:rPr>
                <w:sz w:val="16"/>
              </w:rPr>
            </w:pPr>
            <w:r w:rsidRPr="00007354">
              <w:rPr>
                <w:sz w:val="16"/>
              </w:rPr>
              <w:t>Compliance</w:t>
            </w:r>
          </w:p>
        </w:tc>
        <w:tc>
          <w:tcPr>
            <w:tcW w:w="6187" w:type="dxa"/>
            <w:shd w:val="clear" w:color="auto" w:fill="auto"/>
          </w:tcPr>
          <w:p w:rsidR="00F96EAA" w:rsidRPr="00007354" w:rsidRDefault="00007354" w:rsidP="00007354">
            <w:pPr>
              <w:pStyle w:val="Compact"/>
              <w:spacing w:before="20" w:after="20"/>
              <w:rPr>
                <w:sz w:val="16"/>
              </w:rPr>
            </w:pPr>
            <w:r w:rsidRPr="00007354">
              <w:rPr>
                <w:sz w:val="16"/>
              </w:rPr>
              <w:t>Revue trimestrielle ; checklist GDPR/CCPA/PCI-DSS tenue à jour (annexe)</w:t>
            </w:r>
          </w:p>
        </w:tc>
      </w:tr>
      <w:tr w:rsidR="00F96EAA" w:rsidRPr="00007354" w:rsidTr="00007354">
        <w:tc>
          <w:tcPr>
            <w:tcW w:w="247" w:type="dxa"/>
            <w:shd w:val="clear" w:color="auto" w:fill="auto"/>
          </w:tcPr>
          <w:p w:rsidR="00F96EAA" w:rsidRPr="00007354" w:rsidRDefault="00007354" w:rsidP="00007354">
            <w:pPr>
              <w:pStyle w:val="Compact"/>
              <w:spacing w:before="20" w:after="20"/>
              <w:rPr>
                <w:sz w:val="16"/>
              </w:rPr>
            </w:pPr>
            <w:r w:rsidRPr="00007354">
              <w:rPr>
                <w:sz w:val="16"/>
              </w:rPr>
              <w:t>6</w:t>
            </w:r>
          </w:p>
        </w:tc>
        <w:tc>
          <w:tcPr>
            <w:tcW w:w="1485" w:type="dxa"/>
            <w:shd w:val="clear" w:color="auto" w:fill="auto"/>
          </w:tcPr>
          <w:p w:rsidR="00F96EAA" w:rsidRPr="00007354" w:rsidRDefault="00007354" w:rsidP="00007354">
            <w:pPr>
              <w:pStyle w:val="Compact"/>
              <w:spacing w:before="20" w:after="20"/>
              <w:rPr>
                <w:sz w:val="16"/>
              </w:rPr>
            </w:pPr>
            <w:r w:rsidRPr="00007354">
              <w:rPr>
                <w:sz w:val="16"/>
              </w:rPr>
              <w:t>Data Minimization</w:t>
            </w:r>
          </w:p>
        </w:tc>
        <w:tc>
          <w:tcPr>
            <w:tcW w:w="6187" w:type="dxa"/>
            <w:shd w:val="clear" w:color="auto" w:fill="auto"/>
          </w:tcPr>
          <w:p w:rsidR="00F96EAA" w:rsidRPr="00007354" w:rsidRDefault="00007354" w:rsidP="00007354">
            <w:pPr>
              <w:pStyle w:val="Compact"/>
              <w:spacing w:before="20" w:after="20"/>
              <w:rPr>
                <w:sz w:val="16"/>
              </w:rPr>
            </w:pPr>
            <w:r w:rsidRPr="00007354">
              <w:rPr>
                <w:sz w:val="16"/>
              </w:rPr>
              <w:t>Collecte limitée à la finalité ; revue annuelle des datasets et durées de conservation</w:t>
            </w:r>
          </w:p>
        </w:tc>
      </w:tr>
      <w:tr w:rsidR="00F96EAA" w:rsidRPr="00007354" w:rsidTr="00007354">
        <w:tc>
          <w:tcPr>
            <w:tcW w:w="247" w:type="dxa"/>
            <w:shd w:val="clear" w:color="auto" w:fill="auto"/>
          </w:tcPr>
          <w:p w:rsidR="00F96EAA" w:rsidRPr="00007354" w:rsidRDefault="00007354" w:rsidP="00007354">
            <w:pPr>
              <w:pStyle w:val="Compact"/>
              <w:spacing w:before="20" w:after="20"/>
              <w:rPr>
                <w:sz w:val="16"/>
              </w:rPr>
            </w:pPr>
            <w:r w:rsidRPr="00007354">
              <w:rPr>
                <w:sz w:val="16"/>
              </w:rPr>
              <w:t>7</w:t>
            </w:r>
          </w:p>
        </w:tc>
        <w:tc>
          <w:tcPr>
            <w:tcW w:w="1485" w:type="dxa"/>
            <w:shd w:val="clear" w:color="auto" w:fill="auto"/>
          </w:tcPr>
          <w:p w:rsidR="00F96EAA" w:rsidRPr="00007354" w:rsidRDefault="00007354" w:rsidP="00007354">
            <w:pPr>
              <w:pStyle w:val="Compact"/>
              <w:spacing w:before="20" w:after="20"/>
              <w:rPr>
                <w:sz w:val="16"/>
              </w:rPr>
            </w:pPr>
            <w:r w:rsidRPr="00007354">
              <w:rPr>
                <w:sz w:val="16"/>
              </w:rPr>
              <w:t>User Rights</w:t>
            </w:r>
          </w:p>
        </w:tc>
        <w:tc>
          <w:tcPr>
            <w:tcW w:w="6187" w:type="dxa"/>
            <w:shd w:val="clear" w:color="auto" w:fill="auto"/>
          </w:tcPr>
          <w:p w:rsidR="00F96EAA" w:rsidRPr="00007354" w:rsidRDefault="00007354" w:rsidP="00007354">
            <w:pPr>
              <w:pStyle w:val="Compact"/>
              <w:spacing w:before="20" w:after="20"/>
              <w:rPr>
                <w:sz w:val="16"/>
              </w:rPr>
            </w:pPr>
            <w:r w:rsidRPr="00007354">
              <w:rPr>
                <w:sz w:val="16"/>
              </w:rPr>
              <w:t>Exercice des droits en libre-service et via la Privacy Team, dans les délais légaux</w:t>
            </w:r>
          </w:p>
        </w:tc>
      </w:tr>
      <w:tr w:rsidR="00F96EAA" w:rsidRPr="00007354" w:rsidTr="00007354">
        <w:tc>
          <w:tcPr>
            <w:tcW w:w="247" w:type="dxa"/>
            <w:shd w:val="clear" w:color="auto" w:fill="auto"/>
          </w:tcPr>
          <w:p w:rsidR="00F96EAA" w:rsidRPr="00007354" w:rsidRDefault="00007354" w:rsidP="00007354">
            <w:pPr>
              <w:pStyle w:val="Compact"/>
              <w:spacing w:before="20" w:after="20"/>
              <w:rPr>
                <w:sz w:val="16"/>
              </w:rPr>
            </w:pPr>
            <w:r w:rsidRPr="00007354">
              <w:rPr>
                <w:sz w:val="16"/>
              </w:rPr>
              <w:t>8</w:t>
            </w:r>
          </w:p>
        </w:tc>
        <w:tc>
          <w:tcPr>
            <w:tcW w:w="1485" w:type="dxa"/>
            <w:shd w:val="clear" w:color="auto" w:fill="auto"/>
          </w:tcPr>
          <w:p w:rsidR="00F96EAA" w:rsidRPr="00007354" w:rsidRDefault="00007354" w:rsidP="00007354">
            <w:pPr>
              <w:pStyle w:val="Compact"/>
              <w:spacing w:before="20" w:after="20"/>
              <w:rPr>
                <w:sz w:val="16"/>
              </w:rPr>
            </w:pPr>
            <w:r w:rsidRPr="00007354">
              <w:rPr>
                <w:sz w:val="16"/>
              </w:rPr>
              <w:t>Continuous Improvement</w:t>
            </w:r>
          </w:p>
        </w:tc>
        <w:tc>
          <w:tcPr>
            <w:tcW w:w="6187" w:type="dxa"/>
            <w:shd w:val="clear" w:color="auto" w:fill="auto"/>
          </w:tcPr>
          <w:p w:rsidR="00F96EAA" w:rsidRPr="00007354" w:rsidRDefault="00007354" w:rsidP="00007354">
            <w:pPr>
              <w:pStyle w:val="Compact"/>
              <w:spacing w:before="20" w:after="20"/>
              <w:rPr>
                <w:sz w:val="16"/>
              </w:rPr>
            </w:pPr>
            <w:r w:rsidRPr="00007354">
              <w:rPr>
                <w:sz w:val="16"/>
              </w:rPr>
              <w:t>Revue annuelle de la politique, retours du Committee et des équipes</w:t>
            </w:r>
          </w:p>
        </w:tc>
      </w:tr>
      <w:tr w:rsidR="00F96EAA" w:rsidRPr="00007354" w:rsidTr="00007354">
        <w:tc>
          <w:tcPr>
            <w:tcW w:w="247" w:type="dxa"/>
            <w:shd w:val="clear" w:color="auto" w:fill="auto"/>
          </w:tcPr>
          <w:p w:rsidR="00F96EAA" w:rsidRPr="00007354" w:rsidRDefault="00007354" w:rsidP="00007354">
            <w:pPr>
              <w:pStyle w:val="Compact"/>
              <w:spacing w:before="20" w:after="20"/>
              <w:rPr>
                <w:sz w:val="16"/>
              </w:rPr>
            </w:pPr>
            <w:r w:rsidRPr="00007354">
              <w:rPr>
                <w:sz w:val="16"/>
              </w:rPr>
              <w:t>9</w:t>
            </w:r>
          </w:p>
        </w:tc>
        <w:tc>
          <w:tcPr>
            <w:tcW w:w="1485" w:type="dxa"/>
            <w:shd w:val="clear" w:color="auto" w:fill="auto"/>
          </w:tcPr>
          <w:p w:rsidR="00F96EAA" w:rsidRPr="00007354" w:rsidRDefault="00007354" w:rsidP="00007354">
            <w:pPr>
              <w:pStyle w:val="Compact"/>
              <w:spacing w:before="20" w:after="20"/>
              <w:rPr>
                <w:sz w:val="16"/>
              </w:rPr>
            </w:pPr>
            <w:r w:rsidRPr="00007354">
              <w:rPr>
                <w:sz w:val="16"/>
              </w:rPr>
              <w:t>Ethical Use</w:t>
            </w:r>
          </w:p>
        </w:tc>
        <w:tc>
          <w:tcPr>
            <w:tcW w:w="6187" w:type="dxa"/>
            <w:shd w:val="clear" w:color="auto" w:fill="auto"/>
          </w:tcPr>
          <w:p w:rsidR="00F96EAA" w:rsidRPr="00007354" w:rsidRDefault="00007354" w:rsidP="00007354">
            <w:pPr>
              <w:pStyle w:val="Compact"/>
              <w:spacing w:before="20" w:after="20"/>
              <w:rPr>
                <w:sz w:val="16"/>
              </w:rPr>
            </w:pPr>
            <w:r w:rsidRPr="00007354">
              <w:rPr>
                <w:sz w:val="16"/>
              </w:rPr>
              <w:t>Audit des biais de recommandation, explicabilité, pas de profil</w:t>
            </w:r>
            <w:r w:rsidRPr="00007354">
              <w:rPr>
                <w:sz w:val="16"/>
              </w:rPr>
              <w:t>age sur catégories sensibles inférées</w:t>
            </w:r>
          </w:p>
        </w:tc>
      </w:tr>
    </w:tbl>
    <w:p w:rsidR="00F96EAA" w:rsidRDefault="00007354">
      <w:pPr>
        <w:pStyle w:val="Titre2"/>
      </w:pPr>
      <w:bookmarkStart w:id="3" w:name="qualité-des-données"/>
      <w:bookmarkEnd w:id="2"/>
      <w:r>
        <w:t>3. Qualité des données</w:t>
      </w:r>
    </w:p>
    <w:p w:rsidR="00F96EAA" w:rsidRDefault="00007354">
      <w:pPr>
        <w:pStyle w:val="FirstParagraph"/>
      </w:pPr>
      <w:r>
        <w:t>Chaque domaine mesure quatre critères, avec une baseline établie avant toute cible :</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222"/>
        <w:gridCol w:w="3668"/>
        <w:gridCol w:w="2649"/>
        <w:gridCol w:w="2649"/>
      </w:tblGrid>
      <w:tr w:rsidR="00F96EAA" w:rsidRPr="00007354" w:rsidTr="00007354">
        <w:trPr>
          <w:cnfStyle w:val="100000000000" w:firstRow="1" w:lastRow="0" w:firstColumn="0" w:lastColumn="0" w:oddVBand="0" w:evenVBand="0" w:oddHBand="0" w:evenHBand="0" w:firstRowFirstColumn="0" w:firstRowLastColumn="0" w:lastRowFirstColumn="0" w:lastRowLastColumn="0"/>
          <w:tblHeader/>
        </w:trPr>
        <w:tc>
          <w:tcPr>
            <w:tcW w:w="950"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Critère</w:t>
            </w:r>
          </w:p>
        </w:tc>
        <w:tc>
          <w:tcPr>
            <w:tcW w:w="2851"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Définition</w:t>
            </w:r>
          </w:p>
        </w:tc>
        <w:tc>
          <w:tcPr>
            <w:tcW w:w="2059"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Cible</w:t>
            </w:r>
          </w:p>
        </w:tc>
        <w:tc>
          <w:tcPr>
            <w:tcW w:w="2059"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Mesure</w:t>
            </w:r>
          </w:p>
        </w:tc>
      </w:tr>
      <w:tr w:rsidR="00F96EAA" w:rsidRPr="00007354" w:rsidTr="00007354">
        <w:tc>
          <w:tcPr>
            <w:tcW w:w="950" w:type="dxa"/>
            <w:shd w:val="clear" w:color="auto" w:fill="auto"/>
          </w:tcPr>
          <w:p w:rsidR="00F96EAA" w:rsidRPr="00007354" w:rsidRDefault="00007354" w:rsidP="00007354">
            <w:pPr>
              <w:pStyle w:val="Compact"/>
              <w:spacing w:before="20" w:after="20"/>
              <w:rPr>
                <w:sz w:val="16"/>
              </w:rPr>
            </w:pPr>
            <w:r w:rsidRPr="00007354">
              <w:rPr>
                <w:sz w:val="16"/>
              </w:rPr>
              <w:t>Complétude</w:t>
            </w:r>
          </w:p>
        </w:tc>
        <w:tc>
          <w:tcPr>
            <w:tcW w:w="2851" w:type="dxa"/>
            <w:shd w:val="clear" w:color="auto" w:fill="auto"/>
          </w:tcPr>
          <w:p w:rsidR="00F96EAA" w:rsidRPr="00007354" w:rsidRDefault="00007354" w:rsidP="00007354">
            <w:pPr>
              <w:pStyle w:val="Compact"/>
              <w:spacing w:before="20" w:after="20"/>
              <w:rPr>
                <w:sz w:val="16"/>
              </w:rPr>
            </w:pPr>
            <w:r w:rsidRPr="00007354">
              <w:rPr>
                <w:sz w:val="16"/>
              </w:rPr>
              <w:t>Champs obligatoires renseignés</w:t>
            </w:r>
          </w:p>
        </w:tc>
        <w:tc>
          <w:tcPr>
            <w:tcW w:w="2059" w:type="dxa"/>
            <w:shd w:val="clear" w:color="auto" w:fill="auto"/>
          </w:tcPr>
          <w:p w:rsidR="00F96EAA" w:rsidRPr="00007354" w:rsidRDefault="00007354" w:rsidP="00007354">
            <w:pPr>
              <w:pStyle w:val="Compact"/>
              <w:spacing w:before="20" w:after="20"/>
              <w:rPr>
                <w:sz w:val="16"/>
              </w:rPr>
            </w:pPr>
            <w:r w:rsidRPr="00007354">
              <w:rPr>
                <w:sz w:val="16"/>
              </w:rPr>
              <w:t>&gt; 98 %</w:t>
            </w:r>
          </w:p>
        </w:tc>
        <w:tc>
          <w:tcPr>
            <w:tcW w:w="2059" w:type="dxa"/>
            <w:shd w:val="clear" w:color="auto" w:fill="auto"/>
          </w:tcPr>
          <w:p w:rsidR="00F96EAA" w:rsidRPr="00007354" w:rsidRDefault="00007354" w:rsidP="00007354">
            <w:pPr>
              <w:pStyle w:val="Compact"/>
              <w:spacing w:before="20" w:after="20"/>
              <w:rPr>
                <w:sz w:val="16"/>
              </w:rPr>
            </w:pPr>
            <w:r w:rsidRPr="00007354">
              <w:rPr>
                <w:sz w:val="16"/>
              </w:rPr>
              <w:t>Great Expectations dans les pipelines</w:t>
            </w:r>
          </w:p>
        </w:tc>
      </w:tr>
      <w:tr w:rsidR="00F96EAA" w:rsidRPr="00007354" w:rsidTr="00007354">
        <w:tc>
          <w:tcPr>
            <w:tcW w:w="950" w:type="dxa"/>
            <w:shd w:val="clear" w:color="auto" w:fill="auto"/>
          </w:tcPr>
          <w:p w:rsidR="00F96EAA" w:rsidRPr="00007354" w:rsidRDefault="00007354" w:rsidP="00007354">
            <w:pPr>
              <w:pStyle w:val="Compact"/>
              <w:spacing w:before="20" w:after="20"/>
              <w:rPr>
                <w:sz w:val="16"/>
              </w:rPr>
            </w:pPr>
            <w:r w:rsidRPr="00007354">
              <w:rPr>
                <w:sz w:val="16"/>
              </w:rPr>
              <w:t>Exactitude</w:t>
            </w:r>
          </w:p>
        </w:tc>
        <w:tc>
          <w:tcPr>
            <w:tcW w:w="2851" w:type="dxa"/>
            <w:shd w:val="clear" w:color="auto" w:fill="auto"/>
          </w:tcPr>
          <w:p w:rsidR="00F96EAA" w:rsidRPr="00007354" w:rsidRDefault="00007354" w:rsidP="00007354">
            <w:pPr>
              <w:pStyle w:val="Compact"/>
              <w:spacing w:before="20" w:after="20"/>
              <w:rPr>
                <w:sz w:val="16"/>
              </w:rPr>
            </w:pPr>
            <w:r w:rsidRPr="00007354">
              <w:rPr>
                <w:sz w:val="16"/>
              </w:rPr>
              <w:t>Conformité aux formats et référentiels (ex. ISRC valide)</w:t>
            </w:r>
          </w:p>
        </w:tc>
        <w:tc>
          <w:tcPr>
            <w:tcW w:w="2059" w:type="dxa"/>
            <w:shd w:val="clear" w:color="auto" w:fill="auto"/>
          </w:tcPr>
          <w:p w:rsidR="00F96EAA" w:rsidRPr="00007354" w:rsidRDefault="00007354" w:rsidP="00007354">
            <w:pPr>
              <w:pStyle w:val="Compact"/>
              <w:spacing w:before="20" w:after="20"/>
              <w:rPr>
                <w:sz w:val="16"/>
              </w:rPr>
            </w:pPr>
            <w:r w:rsidRPr="00007354">
              <w:rPr>
                <w:sz w:val="16"/>
              </w:rPr>
              <w:t>&gt; 99 %</w:t>
            </w:r>
          </w:p>
        </w:tc>
        <w:tc>
          <w:tcPr>
            <w:tcW w:w="2059" w:type="dxa"/>
            <w:shd w:val="clear" w:color="auto" w:fill="auto"/>
          </w:tcPr>
          <w:p w:rsidR="00F96EAA" w:rsidRPr="00007354" w:rsidRDefault="00007354" w:rsidP="00007354">
            <w:pPr>
              <w:pStyle w:val="Compact"/>
              <w:spacing w:before="20" w:after="20"/>
              <w:rPr>
                <w:sz w:val="16"/>
              </w:rPr>
            </w:pPr>
            <w:r w:rsidRPr="00007354">
              <w:rPr>
                <w:sz w:val="16"/>
              </w:rPr>
              <w:t>Great Expectations</w:t>
            </w:r>
          </w:p>
        </w:tc>
      </w:tr>
      <w:tr w:rsidR="00F96EAA" w:rsidRPr="00007354" w:rsidTr="00007354">
        <w:tc>
          <w:tcPr>
            <w:tcW w:w="950" w:type="dxa"/>
            <w:shd w:val="clear" w:color="auto" w:fill="auto"/>
          </w:tcPr>
          <w:p w:rsidR="00F96EAA" w:rsidRPr="00007354" w:rsidRDefault="00007354" w:rsidP="00007354">
            <w:pPr>
              <w:pStyle w:val="Compact"/>
              <w:spacing w:before="20" w:after="20"/>
              <w:rPr>
                <w:sz w:val="16"/>
              </w:rPr>
            </w:pPr>
            <w:r w:rsidRPr="00007354">
              <w:rPr>
                <w:sz w:val="16"/>
              </w:rPr>
              <w:t>Cohérence</w:t>
            </w:r>
          </w:p>
        </w:tc>
        <w:tc>
          <w:tcPr>
            <w:tcW w:w="2851" w:type="dxa"/>
            <w:shd w:val="clear" w:color="auto" w:fill="auto"/>
          </w:tcPr>
          <w:p w:rsidR="00F96EAA" w:rsidRPr="00007354" w:rsidRDefault="00007354" w:rsidP="00007354">
            <w:pPr>
              <w:pStyle w:val="Compact"/>
              <w:spacing w:before="20" w:after="20"/>
              <w:rPr>
                <w:sz w:val="16"/>
              </w:rPr>
            </w:pPr>
            <w:r w:rsidRPr="00007354">
              <w:rPr>
                <w:sz w:val="16"/>
              </w:rPr>
              <w:t>Une seule définition par métrique (glossaire métier)</w:t>
            </w:r>
          </w:p>
        </w:tc>
        <w:tc>
          <w:tcPr>
            <w:tcW w:w="2059" w:type="dxa"/>
            <w:shd w:val="clear" w:color="auto" w:fill="auto"/>
          </w:tcPr>
          <w:p w:rsidR="00F96EAA" w:rsidRPr="00007354" w:rsidRDefault="00007354" w:rsidP="00007354">
            <w:pPr>
              <w:pStyle w:val="Compact"/>
              <w:spacing w:before="20" w:after="20"/>
              <w:rPr>
                <w:sz w:val="16"/>
              </w:rPr>
            </w:pPr>
            <w:r w:rsidRPr="00007354">
              <w:rPr>
                <w:sz w:val="16"/>
              </w:rPr>
              <w:t>100 % des métriques du glossaire</w:t>
            </w:r>
          </w:p>
        </w:tc>
        <w:tc>
          <w:tcPr>
            <w:tcW w:w="2059" w:type="dxa"/>
            <w:shd w:val="clear" w:color="auto" w:fill="auto"/>
          </w:tcPr>
          <w:p w:rsidR="00F96EAA" w:rsidRPr="00007354" w:rsidRDefault="00007354" w:rsidP="00007354">
            <w:pPr>
              <w:pStyle w:val="Compact"/>
              <w:spacing w:before="20" w:after="20"/>
              <w:rPr>
                <w:sz w:val="16"/>
              </w:rPr>
            </w:pPr>
            <w:r w:rsidRPr="00007354">
              <w:rPr>
                <w:sz w:val="16"/>
              </w:rPr>
              <w:t>Catalogue de données</w:t>
            </w:r>
          </w:p>
        </w:tc>
      </w:tr>
      <w:tr w:rsidR="00F96EAA" w:rsidRPr="00007354" w:rsidTr="00007354">
        <w:tc>
          <w:tcPr>
            <w:tcW w:w="950" w:type="dxa"/>
            <w:shd w:val="clear" w:color="auto" w:fill="auto"/>
          </w:tcPr>
          <w:p w:rsidR="00F96EAA" w:rsidRPr="00007354" w:rsidRDefault="00007354" w:rsidP="00007354">
            <w:pPr>
              <w:pStyle w:val="Compact"/>
              <w:spacing w:before="20" w:after="20"/>
              <w:rPr>
                <w:sz w:val="16"/>
              </w:rPr>
            </w:pPr>
            <w:r w:rsidRPr="00007354">
              <w:rPr>
                <w:sz w:val="16"/>
              </w:rPr>
              <w:t>Fraîcheur</w:t>
            </w:r>
          </w:p>
        </w:tc>
        <w:tc>
          <w:tcPr>
            <w:tcW w:w="2851" w:type="dxa"/>
            <w:shd w:val="clear" w:color="auto" w:fill="auto"/>
          </w:tcPr>
          <w:p w:rsidR="00F96EAA" w:rsidRPr="00007354" w:rsidRDefault="00007354" w:rsidP="00007354">
            <w:pPr>
              <w:pStyle w:val="Compact"/>
              <w:spacing w:before="20" w:after="20"/>
              <w:rPr>
                <w:sz w:val="16"/>
              </w:rPr>
            </w:pPr>
            <w:r w:rsidRPr="00007354">
              <w:rPr>
                <w:sz w:val="16"/>
              </w:rPr>
              <w:t>Délai production → disponibilité</w:t>
            </w:r>
          </w:p>
        </w:tc>
        <w:tc>
          <w:tcPr>
            <w:tcW w:w="2059" w:type="dxa"/>
            <w:shd w:val="clear" w:color="auto" w:fill="auto"/>
          </w:tcPr>
          <w:p w:rsidR="00F96EAA" w:rsidRPr="00007354" w:rsidRDefault="00007354" w:rsidP="00007354">
            <w:pPr>
              <w:pStyle w:val="Compact"/>
              <w:spacing w:before="20" w:after="20"/>
              <w:rPr>
                <w:sz w:val="16"/>
              </w:rPr>
            </w:pPr>
            <w:r w:rsidRPr="00007354">
              <w:rPr>
                <w:sz w:val="16"/>
              </w:rPr>
              <w:t>&lt; 1 h pour les flux temps réel</w:t>
            </w:r>
          </w:p>
        </w:tc>
        <w:tc>
          <w:tcPr>
            <w:tcW w:w="2059" w:type="dxa"/>
            <w:shd w:val="clear" w:color="auto" w:fill="auto"/>
          </w:tcPr>
          <w:p w:rsidR="00F96EAA" w:rsidRPr="00007354" w:rsidRDefault="00007354" w:rsidP="00007354">
            <w:pPr>
              <w:pStyle w:val="Compact"/>
              <w:spacing w:before="20" w:after="20"/>
              <w:rPr>
                <w:sz w:val="16"/>
              </w:rPr>
            </w:pPr>
            <w:r w:rsidRPr="00007354">
              <w:rPr>
                <w:sz w:val="16"/>
              </w:rPr>
              <w:t>Observabilité (phase 4)</w:t>
            </w:r>
          </w:p>
        </w:tc>
      </w:tr>
    </w:tbl>
    <w:p w:rsidR="00F96EAA" w:rsidRDefault="00007354">
      <w:pPr>
        <w:pStyle w:val="Corpsdetexte"/>
      </w:pPr>
      <w:r>
        <w:t>Les Data Stewards publient les scores mensuellement au Data Governance Committee. Un dataset critique sous la cible deux mois de suite déclenche un plan de remédiation.</w:t>
      </w:r>
    </w:p>
    <w:p w:rsidR="00F96EAA" w:rsidRDefault="00007354">
      <w:pPr>
        <w:pStyle w:val="Titre2"/>
      </w:pPr>
      <w:bookmarkStart w:id="4" w:name="Xb52db3c9b1b1770e5f738e40ff894c06fcdcbe0"/>
      <w:bookmarkEnd w:id="3"/>
      <w:r>
        <w:lastRenderedPageBreak/>
        <w:t>4. Sécurité, classification, accès et cycle de vie</w:t>
      </w:r>
    </w:p>
    <w:p w:rsidR="00F96EAA" w:rsidRDefault="00007354">
      <w:pPr>
        <w:pStyle w:val="FirstParagraph"/>
      </w:pPr>
      <w:r>
        <w:rPr>
          <w:b/>
          <w:bCs/>
        </w:rPr>
        <w:t>Classification</w:t>
      </w:r>
      <w:r>
        <w:t xml:space="preserve"> (obligatoire pour tou</w:t>
      </w:r>
      <w:r>
        <w:t>t dataset catalogué) :</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274"/>
        <w:gridCol w:w="3608"/>
        <w:gridCol w:w="5306"/>
      </w:tblGrid>
      <w:tr w:rsidR="00F96EAA" w:rsidRPr="00007354" w:rsidTr="00007354">
        <w:trPr>
          <w:cnfStyle w:val="100000000000" w:firstRow="1" w:lastRow="0" w:firstColumn="0" w:lastColumn="0" w:oddVBand="0" w:evenVBand="0" w:oddHBand="0" w:evenHBand="0" w:firstRowFirstColumn="0" w:firstRowLastColumn="0" w:lastRowFirstColumn="0" w:lastRowLastColumn="0"/>
          <w:tblHeader/>
        </w:trPr>
        <w:tc>
          <w:tcPr>
            <w:tcW w:w="990"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Classe</w:t>
            </w:r>
          </w:p>
        </w:tc>
        <w:tc>
          <w:tcPr>
            <w:tcW w:w="2805"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Exemples</w:t>
            </w:r>
          </w:p>
        </w:tc>
        <w:tc>
          <w:tcPr>
            <w:tcW w:w="4125"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Protection minimale</w:t>
            </w:r>
          </w:p>
        </w:tc>
      </w:tr>
      <w:tr w:rsidR="00F96EAA" w:rsidRPr="00007354" w:rsidTr="00007354">
        <w:tc>
          <w:tcPr>
            <w:tcW w:w="990" w:type="dxa"/>
            <w:shd w:val="clear" w:color="auto" w:fill="auto"/>
          </w:tcPr>
          <w:p w:rsidR="00F96EAA" w:rsidRPr="00007354" w:rsidRDefault="00007354" w:rsidP="00007354">
            <w:pPr>
              <w:pStyle w:val="Compact"/>
              <w:spacing w:before="20" w:after="20"/>
              <w:rPr>
                <w:sz w:val="16"/>
              </w:rPr>
            </w:pPr>
            <w:r w:rsidRPr="00007354">
              <w:rPr>
                <w:sz w:val="16"/>
              </w:rPr>
              <w:t>Publique</w:t>
            </w:r>
          </w:p>
        </w:tc>
        <w:tc>
          <w:tcPr>
            <w:tcW w:w="2805" w:type="dxa"/>
            <w:shd w:val="clear" w:color="auto" w:fill="auto"/>
          </w:tcPr>
          <w:p w:rsidR="00F96EAA" w:rsidRPr="00007354" w:rsidRDefault="00007354" w:rsidP="00007354">
            <w:pPr>
              <w:pStyle w:val="Compact"/>
              <w:spacing w:before="20" w:after="20"/>
              <w:rPr>
                <w:sz w:val="16"/>
              </w:rPr>
            </w:pPr>
            <w:r w:rsidRPr="00007354">
              <w:rPr>
                <w:sz w:val="16"/>
              </w:rPr>
              <w:t>Catalogue musical</w:t>
            </w:r>
          </w:p>
        </w:tc>
        <w:tc>
          <w:tcPr>
            <w:tcW w:w="4125" w:type="dxa"/>
            <w:shd w:val="clear" w:color="auto" w:fill="auto"/>
          </w:tcPr>
          <w:p w:rsidR="00F96EAA" w:rsidRPr="00007354" w:rsidRDefault="00007354" w:rsidP="00007354">
            <w:pPr>
              <w:pStyle w:val="Compact"/>
              <w:spacing w:before="20" w:after="20"/>
              <w:rPr>
                <w:sz w:val="16"/>
              </w:rPr>
            </w:pPr>
            <w:r w:rsidRPr="00007354">
              <w:rPr>
                <w:sz w:val="16"/>
              </w:rPr>
              <w:t>Aucune restriction</w:t>
            </w:r>
          </w:p>
        </w:tc>
      </w:tr>
      <w:tr w:rsidR="00F96EAA" w:rsidRPr="00007354" w:rsidTr="00007354">
        <w:tc>
          <w:tcPr>
            <w:tcW w:w="990" w:type="dxa"/>
            <w:shd w:val="clear" w:color="auto" w:fill="auto"/>
          </w:tcPr>
          <w:p w:rsidR="00F96EAA" w:rsidRPr="00007354" w:rsidRDefault="00007354" w:rsidP="00007354">
            <w:pPr>
              <w:pStyle w:val="Compact"/>
              <w:spacing w:before="20" w:after="20"/>
              <w:rPr>
                <w:sz w:val="16"/>
              </w:rPr>
            </w:pPr>
            <w:r w:rsidRPr="00007354">
              <w:rPr>
                <w:sz w:val="16"/>
              </w:rPr>
              <w:t>Interne</w:t>
            </w:r>
          </w:p>
        </w:tc>
        <w:tc>
          <w:tcPr>
            <w:tcW w:w="2805" w:type="dxa"/>
            <w:shd w:val="clear" w:color="auto" w:fill="auto"/>
          </w:tcPr>
          <w:p w:rsidR="00F96EAA" w:rsidRPr="00007354" w:rsidRDefault="00007354" w:rsidP="00007354">
            <w:pPr>
              <w:pStyle w:val="Compact"/>
              <w:spacing w:before="20" w:after="20"/>
              <w:rPr>
                <w:sz w:val="16"/>
              </w:rPr>
            </w:pPr>
            <w:r w:rsidRPr="00007354">
              <w:rPr>
                <w:sz w:val="16"/>
              </w:rPr>
              <w:t>Métriques business, rapports</w:t>
            </w:r>
          </w:p>
        </w:tc>
        <w:tc>
          <w:tcPr>
            <w:tcW w:w="4125" w:type="dxa"/>
            <w:shd w:val="clear" w:color="auto" w:fill="auto"/>
          </w:tcPr>
          <w:p w:rsidR="00F96EAA" w:rsidRPr="00007354" w:rsidRDefault="00007354" w:rsidP="00007354">
            <w:pPr>
              <w:pStyle w:val="Compact"/>
              <w:spacing w:before="20" w:after="20"/>
              <w:rPr>
                <w:sz w:val="16"/>
              </w:rPr>
            </w:pPr>
            <w:r w:rsidRPr="00007354">
              <w:rPr>
                <w:sz w:val="16"/>
              </w:rPr>
              <w:t>Employés authentifiés</w:t>
            </w:r>
          </w:p>
        </w:tc>
      </w:tr>
      <w:tr w:rsidR="00F96EAA" w:rsidRPr="00007354" w:rsidTr="00007354">
        <w:tc>
          <w:tcPr>
            <w:tcW w:w="990" w:type="dxa"/>
            <w:shd w:val="clear" w:color="auto" w:fill="auto"/>
          </w:tcPr>
          <w:p w:rsidR="00F96EAA" w:rsidRPr="00007354" w:rsidRDefault="00007354" w:rsidP="00007354">
            <w:pPr>
              <w:pStyle w:val="Compact"/>
              <w:spacing w:before="20" w:after="20"/>
              <w:rPr>
                <w:sz w:val="16"/>
              </w:rPr>
            </w:pPr>
            <w:r w:rsidRPr="00007354">
              <w:rPr>
                <w:sz w:val="16"/>
              </w:rPr>
              <w:t>Confidentielle</w:t>
            </w:r>
          </w:p>
        </w:tc>
        <w:tc>
          <w:tcPr>
            <w:tcW w:w="2805" w:type="dxa"/>
            <w:shd w:val="clear" w:color="auto" w:fill="auto"/>
          </w:tcPr>
          <w:p w:rsidR="00F96EAA" w:rsidRPr="00007354" w:rsidRDefault="00007354" w:rsidP="00007354">
            <w:pPr>
              <w:pStyle w:val="Compact"/>
              <w:spacing w:before="20" w:after="20"/>
              <w:rPr>
                <w:sz w:val="16"/>
              </w:rPr>
            </w:pPr>
            <w:r w:rsidRPr="00007354">
              <w:rPr>
                <w:sz w:val="16"/>
              </w:rPr>
              <w:t>Historiques d’écoute, profils, segments</w:t>
            </w:r>
          </w:p>
        </w:tc>
        <w:tc>
          <w:tcPr>
            <w:tcW w:w="4125" w:type="dxa"/>
            <w:shd w:val="clear" w:color="auto" w:fill="auto"/>
          </w:tcPr>
          <w:p w:rsidR="00F96EAA" w:rsidRPr="00007354" w:rsidRDefault="00007354" w:rsidP="00007354">
            <w:pPr>
              <w:pStyle w:val="Compact"/>
              <w:spacing w:before="20" w:after="20"/>
              <w:rPr>
                <w:sz w:val="16"/>
              </w:rPr>
            </w:pPr>
            <w:r w:rsidRPr="00007354">
              <w:rPr>
                <w:sz w:val="16"/>
              </w:rPr>
              <w:t>Chiffrement au repos et en transit, accès par rôle, pseudonymisation pour l’analytics</w:t>
            </w:r>
          </w:p>
        </w:tc>
      </w:tr>
      <w:tr w:rsidR="00F96EAA" w:rsidRPr="00007354" w:rsidTr="00007354">
        <w:tc>
          <w:tcPr>
            <w:tcW w:w="990" w:type="dxa"/>
            <w:shd w:val="clear" w:color="auto" w:fill="auto"/>
          </w:tcPr>
          <w:p w:rsidR="00F96EAA" w:rsidRPr="00007354" w:rsidRDefault="00007354" w:rsidP="00007354">
            <w:pPr>
              <w:pStyle w:val="Compact"/>
              <w:spacing w:before="20" w:after="20"/>
              <w:rPr>
                <w:sz w:val="16"/>
              </w:rPr>
            </w:pPr>
            <w:r w:rsidRPr="00007354">
              <w:rPr>
                <w:sz w:val="16"/>
              </w:rPr>
              <w:t>Sensible</w:t>
            </w:r>
          </w:p>
        </w:tc>
        <w:tc>
          <w:tcPr>
            <w:tcW w:w="2805" w:type="dxa"/>
            <w:shd w:val="clear" w:color="auto" w:fill="auto"/>
          </w:tcPr>
          <w:p w:rsidR="00F96EAA" w:rsidRPr="00007354" w:rsidRDefault="00007354" w:rsidP="00007354">
            <w:pPr>
              <w:pStyle w:val="Compact"/>
              <w:spacing w:before="20" w:after="20"/>
              <w:rPr>
                <w:sz w:val="16"/>
              </w:rPr>
            </w:pPr>
            <w:r w:rsidRPr="00007354">
              <w:rPr>
                <w:sz w:val="16"/>
              </w:rPr>
              <w:t>Paiements, données inférées art. 9, mineurs</w:t>
            </w:r>
          </w:p>
        </w:tc>
        <w:tc>
          <w:tcPr>
            <w:tcW w:w="4125" w:type="dxa"/>
            <w:shd w:val="clear" w:color="auto" w:fill="auto"/>
          </w:tcPr>
          <w:p w:rsidR="00F96EAA" w:rsidRPr="00007354" w:rsidRDefault="00007354" w:rsidP="00007354">
            <w:pPr>
              <w:pStyle w:val="Compact"/>
              <w:spacing w:before="20" w:after="20"/>
              <w:rPr>
                <w:sz w:val="16"/>
              </w:rPr>
            </w:pPr>
            <w:r w:rsidRPr="00007354">
              <w:rPr>
                <w:sz w:val="16"/>
              </w:rPr>
              <w:t>Chiffrement renforcé, accès nominatif minimal, journalisation obligatoire, DPIA</w:t>
            </w:r>
          </w:p>
        </w:tc>
      </w:tr>
    </w:tbl>
    <w:p w:rsidR="00F96EAA" w:rsidRDefault="00007354">
      <w:pPr>
        <w:pStyle w:val="Corpsdetexte"/>
      </w:pPr>
      <w:r>
        <w:rPr>
          <w:b/>
          <w:bCs/>
        </w:rPr>
        <w:t>Accès et partage.</w:t>
      </w:r>
      <w:r>
        <w:t xml:space="preserve"> L’accès se demand</w:t>
      </w:r>
      <w:r>
        <w:t xml:space="preserve">e via le catalogue de données, il est accordé par le Data Steward du domaine selon la classe et le besoin (principe du moindre privilège), et il est revu trimestriellement. Le partage inter-départements se fait sur données </w:t>
      </w:r>
      <w:r>
        <w:rPr>
          <w:b/>
          <w:bCs/>
        </w:rPr>
        <w:t>pseudonymisées ou agrégées par dé</w:t>
      </w:r>
      <w:r>
        <w:rPr>
          <w:b/>
          <w:bCs/>
        </w:rPr>
        <w:t>faut</w:t>
      </w:r>
      <w:r>
        <w:t xml:space="preserve"> ; l’accès aux données identifiantes exige une finalité documentée. Aucun export de données confidentielles ou sensibles hors des plateformes gouvernées.</w:t>
      </w:r>
    </w:p>
    <w:p w:rsidR="00F96EAA" w:rsidRDefault="00007354">
      <w:pPr>
        <w:pStyle w:val="Corpsdetexte"/>
      </w:pPr>
      <w:r>
        <w:rPr>
          <w:b/>
          <w:bCs/>
        </w:rPr>
        <w:t>Cycle de vie (POSMAD : Plan, Obtain, Store &amp; Share, Maintain, Apply, Dispose).</w:t>
      </w:r>
      <w:r>
        <w:t xml:space="preserve"> Chaque dataset a un</w:t>
      </w:r>
      <w:r>
        <w:t>e durée de conservation définie par son steward avec le DPO et inscrite au catalogue. Repères initiaux : logs d’écoute bruts identifiants 13 mois puis agrégation, données de compte pendant la relation contractuelle + délais légaux, données de paiement selo</w:t>
      </w:r>
      <w:r>
        <w:t>n obligations comptables (sans stockage de numéro de carte chez Spotify), données marketing jusqu’au retrait du consentement. À échéance : suppression ou anonymisation irréversible.</w:t>
      </w:r>
    </w:p>
    <w:p w:rsidR="00F96EAA" w:rsidRDefault="00007354">
      <w:pPr>
        <w:pStyle w:val="Corpsdetexte"/>
      </w:pPr>
      <w:r>
        <w:rPr>
          <w:b/>
          <w:bCs/>
        </w:rPr>
        <w:t>Sécurité opérationnelle.</w:t>
      </w:r>
      <w:r>
        <w:t xml:space="preserve"> Chiffrement systématique des classes Confidentiel</w:t>
      </w:r>
      <w:r>
        <w:t>le et Sensible ; authentification forte ; journalisation centralisée dans le SIEM ; protocole d’incident piloté par le DPO (qualification sous 24 h, notification autorité sous 72 h, information des personnes si risque élevé) ; exercice annuel.</w:t>
      </w:r>
    </w:p>
    <w:p w:rsidR="00F96EAA" w:rsidRDefault="00007354">
      <w:pPr>
        <w:pStyle w:val="Titre2"/>
      </w:pPr>
      <w:bookmarkStart w:id="5" w:name="conformité-réglementaire"/>
      <w:bookmarkEnd w:id="4"/>
      <w:r>
        <w:t>5. Conformit</w:t>
      </w:r>
      <w:r>
        <w:t>é réglementaire</w:t>
      </w:r>
    </w:p>
    <w:p w:rsidR="00F96EAA" w:rsidRDefault="00007354">
      <w:pPr>
        <w:pStyle w:val="FirstParagraph"/>
      </w:pPr>
      <w:r>
        <w:rPr>
          <w:b/>
          <w:bCs/>
        </w:rPr>
        <w:t>Bases légales par finalité (GDPR art. 6).</w:t>
      </w:r>
      <w:r>
        <w:t xml:space="preserve"> Fourniture du service et facturation → </w:t>
      </w:r>
      <w:r>
        <w:rPr>
          <w:b/>
          <w:bCs/>
        </w:rPr>
        <w:t>contrat</w:t>
      </w:r>
      <w:r>
        <w:t xml:space="preserve"> ; recommandation et personnalisation du service → </w:t>
      </w:r>
      <w:r>
        <w:rPr>
          <w:b/>
          <w:bCs/>
        </w:rPr>
        <w:t>intérêt légitime ou contrat</w:t>
      </w:r>
      <w:r>
        <w:t xml:space="preserve">, avec option de recommandation non fondée sur le profilage (DSA art. 27) </w:t>
      </w:r>
      <w:r>
        <w:t xml:space="preserve">; publicité ciblée, partage à des tiers, features optionnelles → </w:t>
      </w:r>
      <w:r>
        <w:rPr>
          <w:b/>
          <w:bCs/>
        </w:rPr>
        <w:t>consentement</w:t>
      </w:r>
      <w:r>
        <w:t xml:space="preserve"> explicite et révocable ; obligations comptables et fiscales → </w:t>
      </w:r>
      <w:r>
        <w:rPr>
          <w:b/>
          <w:bCs/>
        </w:rPr>
        <w:t>obligation légale</w:t>
      </w:r>
      <w:r>
        <w:t>. Chaque traitement est inscrit au registre des traitements (art. 30) tenu par le DPO.</w:t>
      </w:r>
    </w:p>
    <w:p w:rsidR="00F96EAA" w:rsidRDefault="00007354">
      <w:pPr>
        <w:pStyle w:val="Corpsdetexte"/>
      </w:pPr>
      <w:r>
        <w:rPr>
          <w:b/>
          <w:bCs/>
        </w:rPr>
        <w:t>Droits des p</w:t>
      </w:r>
      <w:r>
        <w:rPr>
          <w:b/>
          <w:bCs/>
        </w:rPr>
        <w:t>ersonnes.</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119"/>
        <w:gridCol w:w="2079"/>
        <w:gridCol w:w="1247"/>
        <w:gridCol w:w="3743"/>
      </w:tblGrid>
      <w:tr w:rsidR="00F96EAA" w:rsidRPr="00007354" w:rsidTr="00007354">
        <w:trPr>
          <w:cnfStyle w:val="100000000000" w:firstRow="1" w:lastRow="0" w:firstColumn="0" w:lastColumn="0" w:oddVBand="0" w:evenVBand="0" w:oddHBand="0" w:evenHBand="0" w:firstRowFirstColumn="0" w:firstRowLastColumn="0" w:lastRowFirstColumn="0" w:lastRowLastColumn="0"/>
          <w:tblHeader/>
        </w:trPr>
        <w:tc>
          <w:tcPr>
            <w:tcW w:w="2424"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Droit</w:t>
            </w:r>
          </w:p>
        </w:tc>
        <w:tc>
          <w:tcPr>
            <w:tcW w:w="1616"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Base</w:t>
            </w:r>
          </w:p>
        </w:tc>
        <w:tc>
          <w:tcPr>
            <w:tcW w:w="969"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Délai</w:t>
            </w:r>
          </w:p>
        </w:tc>
        <w:tc>
          <w:tcPr>
            <w:tcW w:w="2909"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Mise en œuvre</w:t>
            </w:r>
          </w:p>
        </w:tc>
      </w:tr>
      <w:tr w:rsidR="00F96EAA" w:rsidRPr="00007354" w:rsidTr="00007354">
        <w:tc>
          <w:tcPr>
            <w:tcW w:w="2424" w:type="dxa"/>
            <w:shd w:val="clear" w:color="auto" w:fill="auto"/>
          </w:tcPr>
          <w:p w:rsidR="00F96EAA" w:rsidRPr="00007354" w:rsidRDefault="00007354" w:rsidP="00007354">
            <w:pPr>
              <w:pStyle w:val="Compact"/>
              <w:spacing w:before="20" w:after="20"/>
              <w:rPr>
                <w:sz w:val="16"/>
              </w:rPr>
            </w:pPr>
            <w:r w:rsidRPr="00007354">
              <w:rPr>
                <w:sz w:val="16"/>
              </w:rPr>
              <w:t>Accès et information (source, destinataires, durées, transferts)</w:t>
            </w:r>
          </w:p>
        </w:tc>
        <w:tc>
          <w:tcPr>
            <w:tcW w:w="1616" w:type="dxa"/>
            <w:shd w:val="clear" w:color="auto" w:fill="auto"/>
          </w:tcPr>
          <w:p w:rsidR="00F96EAA" w:rsidRPr="00007354" w:rsidRDefault="00007354" w:rsidP="00007354">
            <w:pPr>
              <w:pStyle w:val="Compact"/>
              <w:spacing w:before="20" w:after="20"/>
              <w:rPr>
                <w:sz w:val="16"/>
              </w:rPr>
            </w:pPr>
            <w:r w:rsidRPr="00007354">
              <w:rPr>
                <w:sz w:val="16"/>
              </w:rPr>
              <w:t>GDPR art. 15, CCPA</w:t>
            </w:r>
          </w:p>
        </w:tc>
        <w:tc>
          <w:tcPr>
            <w:tcW w:w="969" w:type="dxa"/>
            <w:shd w:val="clear" w:color="auto" w:fill="auto"/>
          </w:tcPr>
          <w:p w:rsidR="00F96EAA" w:rsidRPr="00007354" w:rsidRDefault="00007354" w:rsidP="00007354">
            <w:pPr>
              <w:pStyle w:val="Compact"/>
              <w:spacing w:before="20" w:after="20"/>
              <w:rPr>
                <w:sz w:val="16"/>
              </w:rPr>
            </w:pPr>
            <w:r w:rsidRPr="00007354">
              <w:rPr>
                <w:sz w:val="16"/>
              </w:rPr>
              <w:t>1 mois / 45 j</w:t>
            </w:r>
          </w:p>
        </w:tc>
        <w:tc>
          <w:tcPr>
            <w:tcW w:w="2909" w:type="dxa"/>
            <w:shd w:val="clear" w:color="auto" w:fill="auto"/>
          </w:tcPr>
          <w:p w:rsidR="00F96EAA" w:rsidRPr="00007354" w:rsidRDefault="00007354" w:rsidP="00007354">
            <w:pPr>
              <w:pStyle w:val="Compact"/>
              <w:spacing w:before="20" w:after="20"/>
              <w:rPr>
                <w:sz w:val="16"/>
              </w:rPr>
            </w:pPr>
            <w:r w:rsidRPr="00007354">
              <w:rPr>
                <w:sz w:val="16"/>
              </w:rPr>
              <w:t>Export libre-service complet ; Privacy Team pour le reste</w:t>
            </w:r>
          </w:p>
        </w:tc>
      </w:tr>
      <w:tr w:rsidR="00F96EAA" w:rsidRPr="00007354" w:rsidTr="00007354">
        <w:tc>
          <w:tcPr>
            <w:tcW w:w="2424" w:type="dxa"/>
            <w:shd w:val="clear" w:color="auto" w:fill="auto"/>
          </w:tcPr>
          <w:p w:rsidR="00F96EAA" w:rsidRPr="00007354" w:rsidRDefault="00007354" w:rsidP="00007354">
            <w:pPr>
              <w:pStyle w:val="Compact"/>
              <w:spacing w:before="20" w:after="20"/>
              <w:rPr>
                <w:sz w:val="16"/>
              </w:rPr>
            </w:pPr>
            <w:r w:rsidRPr="00007354">
              <w:rPr>
                <w:sz w:val="16"/>
              </w:rPr>
              <w:t>Rectification</w:t>
            </w:r>
          </w:p>
        </w:tc>
        <w:tc>
          <w:tcPr>
            <w:tcW w:w="1616" w:type="dxa"/>
            <w:shd w:val="clear" w:color="auto" w:fill="auto"/>
          </w:tcPr>
          <w:p w:rsidR="00F96EAA" w:rsidRPr="00007354" w:rsidRDefault="00007354" w:rsidP="00007354">
            <w:pPr>
              <w:pStyle w:val="Compact"/>
              <w:spacing w:before="20" w:after="20"/>
              <w:rPr>
                <w:sz w:val="16"/>
              </w:rPr>
            </w:pPr>
            <w:r w:rsidRPr="00007354">
              <w:rPr>
                <w:sz w:val="16"/>
              </w:rPr>
              <w:t>GDPR art. 16, CPRA</w:t>
            </w:r>
          </w:p>
        </w:tc>
        <w:tc>
          <w:tcPr>
            <w:tcW w:w="969" w:type="dxa"/>
            <w:shd w:val="clear" w:color="auto" w:fill="auto"/>
          </w:tcPr>
          <w:p w:rsidR="00F96EAA" w:rsidRPr="00007354" w:rsidRDefault="00007354" w:rsidP="00007354">
            <w:pPr>
              <w:pStyle w:val="Compact"/>
              <w:spacing w:before="20" w:after="20"/>
              <w:rPr>
                <w:sz w:val="16"/>
              </w:rPr>
            </w:pPr>
            <w:r w:rsidRPr="00007354">
              <w:rPr>
                <w:sz w:val="16"/>
              </w:rPr>
              <w:t>1 mois</w:t>
            </w:r>
          </w:p>
        </w:tc>
        <w:tc>
          <w:tcPr>
            <w:tcW w:w="2909" w:type="dxa"/>
            <w:shd w:val="clear" w:color="auto" w:fill="auto"/>
          </w:tcPr>
          <w:p w:rsidR="00F96EAA" w:rsidRPr="00007354" w:rsidRDefault="00007354" w:rsidP="00007354">
            <w:pPr>
              <w:pStyle w:val="Compact"/>
              <w:spacing w:before="20" w:after="20"/>
              <w:rPr>
                <w:sz w:val="16"/>
              </w:rPr>
            </w:pPr>
            <w:r w:rsidRPr="00007354">
              <w:rPr>
                <w:sz w:val="16"/>
              </w:rPr>
              <w:t>Paramètres du compte</w:t>
            </w:r>
          </w:p>
        </w:tc>
      </w:tr>
      <w:tr w:rsidR="00F96EAA" w:rsidRPr="00007354" w:rsidTr="00007354">
        <w:tc>
          <w:tcPr>
            <w:tcW w:w="2424" w:type="dxa"/>
            <w:shd w:val="clear" w:color="auto" w:fill="auto"/>
          </w:tcPr>
          <w:p w:rsidR="00F96EAA" w:rsidRPr="00007354" w:rsidRDefault="00007354" w:rsidP="00007354">
            <w:pPr>
              <w:pStyle w:val="Compact"/>
              <w:spacing w:before="20" w:after="20"/>
              <w:rPr>
                <w:sz w:val="16"/>
              </w:rPr>
            </w:pPr>
            <w:r w:rsidRPr="00007354">
              <w:rPr>
                <w:sz w:val="16"/>
              </w:rPr>
              <w:t>Effacement</w:t>
            </w:r>
          </w:p>
        </w:tc>
        <w:tc>
          <w:tcPr>
            <w:tcW w:w="1616" w:type="dxa"/>
            <w:shd w:val="clear" w:color="auto" w:fill="auto"/>
          </w:tcPr>
          <w:p w:rsidR="00F96EAA" w:rsidRPr="00007354" w:rsidRDefault="00007354" w:rsidP="00007354">
            <w:pPr>
              <w:pStyle w:val="Compact"/>
              <w:spacing w:before="20" w:after="20"/>
              <w:rPr>
                <w:sz w:val="16"/>
              </w:rPr>
            </w:pPr>
            <w:r w:rsidRPr="00007354">
              <w:rPr>
                <w:sz w:val="16"/>
              </w:rPr>
              <w:t>GDPR art. 17, CCPA</w:t>
            </w:r>
          </w:p>
        </w:tc>
        <w:tc>
          <w:tcPr>
            <w:tcW w:w="969" w:type="dxa"/>
            <w:shd w:val="clear" w:color="auto" w:fill="auto"/>
          </w:tcPr>
          <w:p w:rsidR="00F96EAA" w:rsidRPr="00007354" w:rsidRDefault="00007354" w:rsidP="00007354">
            <w:pPr>
              <w:pStyle w:val="Compact"/>
              <w:spacing w:before="20" w:after="20"/>
              <w:rPr>
                <w:sz w:val="16"/>
              </w:rPr>
            </w:pPr>
            <w:r w:rsidRPr="00007354">
              <w:rPr>
                <w:sz w:val="16"/>
              </w:rPr>
              <w:t>1 mois</w:t>
            </w:r>
          </w:p>
        </w:tc>
        <w:tc>
          <w:tcPr>
            <w:tcW w:w="2909" w:type="dxa"/>
            <w:shd w:val="clear" w:color="auto" w:fill="auto"/>
          </w:tcPr>
          <w:p w:rsidR="00F96EAA" w:rsidRPr="00007354" w:rsidRDefault="00007354" w:rsidP="00007354">
            <w:pPr>
              <w:pStyle w:val="Compact"/>
              <w:spacing w:before="20" w:after="20"/>
              <w:rPr>
                <w:sz w:val="16"/>
              </w:rPr>
            </w:pPr>
            <w:r w:rsidRPr="00007354">
              <w:rPr>
                <w:sz w:val="16"/>
              </w:rPr>
              <w:t>Pipeline automatisé sur tous les systèmes du domaine</w:t>
            </w:r>
          </w:p>
        </w:tc>
      </w:tr>
      <w:tr w:rsidR="00F96EAA" w:rsidRPr="00007354" w:rsidTr="00007354">
        <w:tc>
          <w:tcPr>
            <w:tcW w:w="2424" w:type="dxa"/>
            <w:shd w:val="clear" w:color="auto" w:fill="auto"/>
          </w:tcPr>
          <w:p w:rsidR="00F96EAA" w:rsidRPr="00007354" w:rsidRDefault="00007354" w:rsidP="00007354">
            <w:pPr>
              <w:pStyle w:val="Compact"/>
              <w:spacing w:before="20" w:after="20"/>
              <w:rPr>
                <w:sz w:val="16"/>
              </w:rPr>
            </w:pPr>
            <w:r w:rsidRPr="00007354">
              <w:rPr>
                <w:sz w:val="16"/>
              </w:rPr>
              <w:t>Portabilité</w:t>
            </w:r>
          </w:p>
        </w:tc>
        <w:tc>
          <w:tcPr>
            <w:tcW w:w="1616" w:type="dxa"/>
            <w:shd w:val="clear" w:color="auto" w:fill="auto"/>
          </w:tcPr>
          <w:p w:rsidR="00F96EAA" w:rsidRPr="00007354" w:rsidRDefault="00007354" w:rsidP="00007354">
            <w:pPr>
              <w:pStyle w:val="Compact"/>
              <w:spacing w:before="20" w:after="20"/>
              <w:rPr>
                <w:sz w:val="16"/>
              </w:rPr>
            </w:pPr>
            <w:r w:rsidRPr="00007354">
              <w:rPr>
                <w:sz w:val="16"/>
              </w:rPr>
              <w:t>GDPR art. 20</w:t>
            </w:r>
          </w:p>
        </w:tc>
        <w:tc>
          <w:tcPr>
            <w:tcW w:w="969" w:type="dxa"/>
            <w:shd w:val="clear" w:color="auto" w:fill="auto"/>
          </w:tcPr>
          <w:p w:rsidR="00F96EAA" w:rsidRPr="00007354" w:rsidRDefault="00007354" w:rsidP="00007354">
            <w:pPr>
              <w:pStyle w:val="Compact"/>
              <w:spacing w:before="20" w:after="20"/>
              <w:rPr>
                <w:sz w:val="16"/>
              </w:rPr>
            </w:pPr>
            <w:r w:rsidRPr="00007354">
              <w:rPr>
                <w:sz w:val="16"/>
              </w:rPr>
              <w:t>1 mois</w:t>
            </w:r>
          </w:p>
        </w:tc>
        <w:tc>
          <w:tcPr>
            <w:tcW w:w="2909" w:type="dxa"/>
            <w:shd w:val="clear" w:color="auto" w:fill="auto"/>
          </w:tcPr>
          <w:p w:rsidR="00F96EAA" w:rsidRPr="00007354" w:rsidRDefault="00007354" w:rsidP="00007354">
            <w:pPr>
              <w:pStyle w:val="Compact"/>
              <w:spacing w:before="20" w:after="20"/>
              <w:rPr>
                <w:sz w:val="16"/>
              </w:rPr>
            </w:pPr>
            <w:r w:rsidRPr="00007354">
              <w:rPr>
                <w:sz w:val="16"/>
              </w:rPr>
              <w:t>Export JSON/CSV</w:t>
            </w:r>
          </w:p>
        </w:tc>
      </w:tr>
      <w:tr w:rsidR="00F96EAA" w:rsidRPr="00007354" w:rsidTr="00007354">
        <w:tc>
          <w:tcPr>
            <w:tcW w:w="2424" w:type="dxa"/>
            <w:shd w:val="clear" w:color="auto" w:fill="auto"/>
          </w:tcPr>
          <w:p w:rsidR="00F96EAA" w:rsidRPr="00007354" w:rsidRDefault="00007354" w:rsidP="00007354">
            <w:pPr>
              <w:pStyle w:val="Compact"/>
              <w:spacing w:before="20" w:after="20"/>
              <w:rPr>
                <w:sz w:val="16"/>
              </w:rPr>
            </w:pPr>
            <w:r w:rsidRPr="00007354">
              <w:rPr>
                <w:sz w:val="16"/>
              </w:rPr>
              <w:t>Opposition et limitation</w:t>
            </w:r>
          </w:p>
        </w:tc>
        <w:tc>
          <w:tcPr>
            <w:tcW w:w="1616" w:type="dxa"/>
            <w:shd w:val="clear" w:color="auto" w:fill="auto"/>
          </w:tcPr>
          <w:p w:rsidR="00F96EAA" w:rsidRPr="00007354" w:rsidRDefault="00007354" w:rsidP="00007354">
            <w:pPr>
              <w:pStyle w:val="Compact"/>
              <w:spacing w:before="20" w:after="20"/>
              <w:rPr>
                <w:sz w:val="16"/>
              </w:rPr>
            </w:pPr>
            <w:r w:rsidRPr="00007354">
              <w:rPr>
                <w:sz w:val="16"/>
              </w:rPr>
              <w:t>GDPR art. 18, 21</w:t>
            </w:r>
          </w:p>
        </w:tc>
        <w:tc>
          <w:tcPr>
            <w:tcW w:w="969" w:type="dxa"/>
            <w:shd w:val="clear" w:color="auto" w:fill="auto"/>
          </w:tcPr>
          <w:p w:rsidR="00F96EAA" w:rsidRPr="00007354" w:rsidRDefault="00007354" w:rsidP="00007354">
            <w:pPr>
              <w:pStyle w:val="Compact"/>
              <w:spacing w:before="20" w:after="20"/>
              <w:rPr>
                <w:sz w:val="16"/>
              </w:rPr>
            </w:pPr>
            <w:r w:rsidRPr="00007354">
              <w:rPr>
                <w:sz w:val="16"/>
              </w:rPr>
              <w:t>1 mois</w:t>
            </w:r>
          </w:p>
        </w:tc>
        <w:tc>
          <w:tcPr>
            <w:tcW w:w="2909" w:type="dxa"/>
            <w:shd w:val="clear" w:color="auto" w:fill="auto"/>
          </w:tcPr>
          <w:p w:rsidR="00F96EAA" w:rsidRPr="00007354" w:rsidRDefault="00007354" w:rsidP="00007354">
            <w:pPr>
              <w:pStyle w:val="Compact"/>
              <w:spacing w:before="20" w:after="20"/>
              <w:rPr>
                <w:sz w:val="16"/>
              </w:rPr>
            </w:pPr>
            <w:r w:rsidRPr="00007354">
              <w:rPr>
                <w:sz w:val="16"/>
              </w:rPr>
              <w:t>Désactivation du profilage publicitaire, gel du traitement</w:t>
            </w:r>
          </w:p>
        </w:tc>
      </w:tr>
      <w:tr w:rsidR="00F96EAA" w:rsidRPr="00007354" w:rsidTr="00007354">
        <w:tc>
          <w:tcPr>
            <w:tcW w:w="2424" w:type="dxa"/>
            <w:shd w:val="clear" w:color="auto" w:fill="auto"/>
          </w:tcPr>
          <w:p w:rsidR="00F96EAA" w:rsidRPr="00007354" w:rsidRDefault="00007354" w:rsidP="00007354">
            <w:pPr>
              <w:pStyle w:val="Compact"/>
              <w:spacing w:before="20" w:after="20"/>
              <w:rPr>
                <w:sz w:val="16"/>
              </w:rPr>
            </w:pPr>
            <w:r w:rsidRPr="00007354">
              <w:rPr>
                <w:sz w:val="16"/>
              </w:rPr>
              <w:t>Décision automatisée</w:t>
            </w:r>
          </w:p>
        </w:tc>
        <w:tc>
          <w:tcPr>
            <w:tcW w:w="1616" w:type="dxa"/>
            <w:shd w:val="clear" w:color="auto" w:fill="auto"/>
          </w:tcPr>
          <w:p w:rsidR="00F96EAA" w:rsidRPr="00007354" w:rsidRDefault="00007354" w:rsidP="00007354">
            <w:pPr>
              <w:pStyle w:val="Compact"/>
              <w:spacing w:before="20" w:after="20"/>
              <w:rPr>
                <w:sz w:val="16"/>
              </w:rPr>
            </w:pPr>
            <w:r w:rsidRPr="00007354">
              <w:rPr>
                <w:sz w:val="16"/>
              </w:rPr>
              <w:t>GDPR art. 22, DSA art. 27</w:t>
            </w:r>
          </w:p>
        </w:tc>
        <w:tc>
          <w:tcPr>
            <w:tcW w:w="969" w:type="dxa"/>
            <w:shd w:val="clear" w:color="auto" w:fill="auto"/>
          </w:tcPr>
          <w:p w:rsidR="00F96EAA" w:rsidRPr="00007354" w:rsidRDefault="00007354" w:rsidP="00007354">
            <w:pPr>
              <w:pStyle w:val="Compact"/>
              <w:spacing w:before="20" w:after="20"/>
              <w:rPr>
                <w:sz w:val="16"/>
              </w:rPr>
            </w:pPr>
            <w:r w:rsidRPr="00007354">
              <w:rPr>
                <w:sz w:val="16"/>
              </w:rPr>
              <w:t>—</w:t>
            </w:r>
          </w:p>
        </w:tc>
        <w:tc>
          <w:tcPr>
            <w:tcW w:w="2909" w:type="dxa"/>
            <w:shd w:val="clear" w:color="auto" w:fill="auto"/>
          </w:tcPr>
          <w:p w:rsidR="00F96EAA" w:rsidRPr="00007354" w:rsidRDefault="00007354" w:rsidP="00007354">
            <w:pPr>
              <w:pStyle w:val="Compact"/>
              <w:spacing w:before="20" w:after="20"/>
              <w:rPr>
                <w:sz w:val="16"/>
              </w:rPr>
            </w:pPr>
            <w:r w:rsidRPr="00007354">
              <w:rPr>
                <w:sz w:val="16"/>
              </w:rPr>
              <w:t>Explicabilité des recommandations, option non profilée</w:t>
            </w:r>
          </w:p>
        </w:tc>
      </w:tr>
      <w:tr w:rsidR="00F96EAA" w:rsidRPr="00007354" w:rsidTr="00007354">
        <w:tc>
          <w:tcPr>
            <w:tcW w:w="2424" w:type="dxa"/>
            <w:shd w:val="clear" w:color="auto" w:fill="auto"/>
          </w:tcPr>
          <w:p w:rsidR="00F96EAA" w:rsidRPr="00007354" w:rsidRDefault="00007354" w:rsidP="00007354">
            <w:pPr>
              <w:pStyle w:val="Compact"/>
              <w:spacing w:before="20" w:after="20"/>
              <w:rPr>
                <w:sz w:val="16"/>
              </w:rPr>
            </w:pPr>
            <w:r w:rsidRPr="00007354">
              <w:rPr>
                <w:sz w:val="16"/>
              </w:rPr>
              <w:t>Opt-out de la vente / du partage</w:t>
            </w:r>
          </w:p>
        </w:tc>
        <w:tc>
          <w:tcPr>
            <w:tcW w:w="1616" w:type="dxa"/>
            <w:shd w:val="clear" w:color="auto" w:fill="auto"/>
          </w:tcPr>
          <w:p w:rsidR="00F96EAA" w:rsidRPr="00007354" w:rsidRDefault="00007354" w:rsidP="00007354">
            <w:pPr>
              <w:pStyle w:val="Compact"/>
              <w:spacing w:before="20" w:after="20"/>
              <w:rPr>
                <w:sz w:val="16"/>
              </w:rPr>
            </w:pPr>
            <w:r w:rsidRPr="00007354">
              <w:rPr>
                <w:sz w:val="16"/>
              </w:rPr>
              <w:t>CCPA/CPRA</w:t>
            </w:r>
          </w:p>
        </w:tc>
        <w:tc>
          <w:tcPr>
            <w:tcW w:w="969" w:type="dxa"/>
            <w:shd w:val="clear" w:color="auto" w:fill="auto"/>
          </w:tcPr>
          <w:p w:rsidR="00F96EAA" w:rsidRPr="00007354" w:rsidRDefault="00007354" w:rsidP="00007354">
            <w:pPr>
              <w:pStyle w:val="Compact"/>
              <w:spacing w:before="20" w:after="20"/>
              <w:rPr>
                <w:sz w:val="16"/>
              </w:rPr>
            </w:pPr>
            <w:r w:rsidRPr="00007354">
              <w:rPr>
                <w:sz w:val="16"/>
              </w:rPr>
              <w:t>Immédiat</w:t>
            </w:r>
          </w:p>
        </w:tc>
        <w:tc>
          <w:tcPr>
            <w:tcW w:w="2909" w:type="dxa"/>
            <w:shd w:val="clear" w:color="auto" w:fill="auto"/>
          </w:tcPr>
          <w:p w:rsidR="00F96EAA" w:rsidRPr="00007354" w:rsidRDefault="00007354" w:rsidP="00007354">
            <w:pPr>
              <w:pStyle w:val="Compact"/>
              <w:spacing w:before="20" w:after="20"/>
              <w:rPr>
                <w:sz w:val="16"/>
              </w:rPr>
            </w:pPr>
            <w:r w:rsidRPr="00007354">
              <w:rPr>
                <w:sz w:val="16"/>
              </w:rPr>
              <w:t>Lien « Do Not Sell or Share », signal G</w:t>
            </w:r>
            <w:r w:rsidRPr="00007354">
              <w:rPr>
                <w:sz w:val="16"/>
              </w:rPr>
              <w:t>PC honoré</w:t>
            </w:r>
          </w:p>
        </w:tc>
      </w:tr>
      <w:tr w:rsidR="00F96EAA" w:rsidRPr="00007354" w:rsidTr="00007354">
        <w:tc>
          <w:tcPr>
            <w:tcW w:w="2424" w:type="dxa"/>
            <w:shd w:val="clear" w:color="auto" w:fill="auto"/>
          </w:tcPr>
          <w:p w:rsidR="00F96EAA" w:rsidRPr="00007354" w:rsidRDefault="00007354" w:rsidP="00007354">
            <w:pPr>
              <w:pStyle w:val="Compact"/>
              <w:spacing w:before="20" w:after="20"/>
              <w:rPr>
                <w:sz w:val="16"/>
              </w:rPr>
            </w:pPr>
            <w:r w:rsidRPr="00007354">
              <w:rPr>
                <w:sz w:val="16"/>
              </w:rPr>
              <w:t>Non-discrimination</w:t>
            </w:r>
          </w:p>
        </w:tc>
        <w:tc>
          <w:tcPr>
            <w:tcW w:w="1616" w:type="dxa"/>
            <w:shd w:val="clear" w:color="auto" w:fill="auto"/>
          </w:tcPr>
          <w:p w:rsidR="00F96EAA" w:rsidRPr="00007354" w:rsidRDefault="00007354" w:rsidP="00007354">
            <w:pPr>
              <w:pStyle w:val="Compact"/>
              <w:spacing w:before="20" w:after="20"/>
              <w:rPr>
                <w:sz w:val="16"/>
              </w:rPr>
            </w:pPr>
            <w:r w:rsidRPr="00007354">
              <w:rPr>
                <w:sz w:val="16"/>
              </w:rPr>
              <w:t>CCPA</w:t>
            </w:r>
          </w:p>
        </w:tc>
        <w:tc>
          <w:tcPr>
            <w:tcW w:w="969" w:type="dxa"/>
            <w:shd w:val="clear" w:color="auto" w:fill="auto"/>
          </w:tcPr>
          <w:p w:rsidR="00F96EAA" w:rsidRPr="00007354" w:rsidRDefault="00007354" w:rsidP="00007354">
            <w:pPr>
              <w:pStyle w:val="Compact"/>
              <w:spacing w:before="20" w:after="20"/>
              <w:rPr>
                <w:sz w:val="16"/>
              </w:rPr>
            </w:pPr>
            <w:r w:rsidRPr="00007354">
              <w:rPr>
                <w:sz w:val="16"/>
              </w:rPr>
              <w:t>—</w:t>
            </w:r>
          </w:p>
        </w:tc>
        <w:tc>
          <w:tcPr>
            <w:tcW w:w="2909" w:type="dxa"/>
            <w:shd w:val="clear" w:color="auto" w:fill="auto"/>
          </w:tcPr>
          <w:p w:rsidR="00F96EAA" w:rsidRPr="00007354" w:rsidRDefault="00007354" w:rsidP="00007354">
            <w:pPr>
              <w:pStyle w:val="Compact"/>
              <w:spacing w:before="20" w:after="20"/>
              <w:rPr>
                <w:sz w:val="16"/>
              </w:rPr>
            </w:pPr>
            <w:r w:rsidRPr="00007354">
              <w:rPr>
                <w:sz w:val="16"/>
              </w:rPr>
              <w:t>Aucune dégradation de service après exercice d’un droit</w:t>
            </w:r>
          </w:p>
        </w:tc>
      </w:tr>
    </w:tbl>
    <w:p w:rsidR="00F96EAA" w:rsidRDefault="00007354">
      <w:pPr>
        <w:pStyle w:val="Corpsdetexte"/>
      </w:pPr>
      <w:r>
        <w:rPr>
          <w:b/>
          <w:bCs/>
        </w:rPr>
        <w:t>Consentement et transparence.</w:t>
      </w:r>
      <w:r>
        <w:t xml:space="preserve"> Consentement recueilli et tracé par la plateforme de gestion des consentements, granulaire par finalité, aussi simple à retirer qu’à</w:t>
      </w:r>
      <w:r>
        <w:t xml:space="preserve"> donner. Mineurs : âge minimum par pays, consentement parental (GDPR art. 8), pas de publicité ciblée.</w:t>
      </w:r>
    </w:p>
    <w:p w:rsidR="00F96EAA" w:rsidRDefault="00007354">
      <w:pPr>
        <w:pStyle w:val="Corpsdetexte"/>
      </w:pPr>
      <w:r>
        <w:rPr>
          <w:b/>
          <w:bCs/>
        </w:rPr>
        <w:t>DPIA.</w:t>
      </w:r>
      <w:r>
        <w:t xml:space="preserve"> </w:t>
      </w:r>
      <w:r>
        <w:t>Obligatoire avant tout nouveau traitement à risque élevé (nouveau profilage, nouvelle catégorie de données, nouveau transfert), validée par le DPO avant mise en production.</w:t>
      </w:r>
    </w:p>
    <w:p w:rsidR="00F96EAA" w:rsidRDefault="00007354">
      <w:pPr>
        <w:pStyle w:val="Corpsdetexte"/>
      </w:pPr>
      <w:r>
        <w:rPr>
          <w:b/>
          <w:bCs/>
        </w:rPr>
        <w:t>Transferts internationaux.</w:t>
      </w:r>
      <w:r>
        <w:t xml:space="preserve"> Clauses contractuelles types, EU-US Data Privacy Framewo</w:t>
      </w:r>
      <w:r>
        <w:t>rk pour les prestataires certifiés, règles d’entreprise contraignantes intra-groupe ; inventaire des transferts au registre.</w:t>
      </w:r>
    </w:p>
    <w:p w:rsidR="00F96EAA" w:rsidRDefault="00007354">
      <w:pPr>
        <w:pStyle w:val="Corpsdetexte"/>
      </w:pPr>
      <w:r>
        <w:rPr>
          <w:b/>
          <w:bCs/>
        </w:rPr>
        <w:lastRenderedPageBreak/>
        <w:t>PCI-DSS.</w:t>
      </w:r>
      <w:r>
        <w:t xml:space="preserve"> Les données de carte sont traitées par un prestataire de paiement certifié PCI-DSS ; Spotify ne stocke aucun numéro de car</w:t>
      </w:r>
      <w:r>
        <w:t>te (tokenisation). Obligations conservées par Spotify sur les six exigences de la checklist : réseau et page de paiement sécurisés (SAQ-A annuel), protection des jetons et données de facturation, gestion des vulnérabilités (scans trimestriels, correctifs),</w:t>
      </w:r>
      <w:r>
        <w:t xml:space="preserve"> contrôle d’accès strict et MFA sur les consoles de paiement, surveillance et tests (SIEM, pentest annuel), politique de sécurité de l’information revue annuellement.</w:t>
      </w:r>
    </w:p>
    <w:p w:rsidR="00F96EAA" w:rsidRDefault="00007354">
      <w:pPr>
        <w:pStyle w:val="Corpsdetexte"/>
      </w:pPr>
      <w:r>
        <w:rPr>
          <w:b/>
          <w:bCs/>
        </w:rPr>
        <w:t>Réglementations locales.</w:t>
      </w:r>
      <w:r>
        <w:t xml:space="preserve"> CCPA/CPRA (Californie), PDPA (Singapour), LGPD (Brésil, amende j</w:t>
      </w:r>
      <w:r>
        <w:t>usqu’à 2 % du CA local), DSA (transparence des systèmes de recommandation), AI Act (obligations de transparence pour les systèmes de recommandation). La veille est tenue par le DPO et Legal ; la checklist de conformité (annexe Excel) est mise à jour trimes</w:t>
      </w:r>
      <w:r>
        <w:t>triellement.</w:t>
      </w:r>
    </w:p>
    <w:p w:rsidR="00F96EAA" w:rsidRDefault="00007354">
      <w:pPr>
        <w:pStyle w:val="Titre2"/>
      </w:pPr>
      <w:bookmarkStart w:id="6" w:name="rôles-et-responsabilités"/>
      <w:bookmarkEnd w:id="5"/>
      <w:r>
        <w:t>6. Rôles et responsabilités</w:t>
      </w:r>
    </w:p>
    <w:p w:rsidR="00F96EAA" w:rsidRDefault="00007354">
      <w:pPr>
        <w:pStyle w:val="FirstParagraph"/>
      </w:pPr>
      <w:r>
        <w:t>Les rôles suivent le Data Governance Roles Template ; l’organigramme et les fiches détaillées font l’objet d’un livrable séparé.</w:t>
      </w:r>
    </w:p>
    <w:p w:rsidR="00F96EAA" w:rsidRDefault="00007354">
      <w:pPr>
        <w:pStyle w:val="Compact"/>
        <w:numPr>
          <w:ilvl w:val="0"/>
          <w:numId w:val="2"/>
        </w:numPr>
      </w:pPr>
      <w:r>
        <w:rPr>
          <w:b/>
          <w:bCs/>
        </w:rPr>
        <w:t>Chief Data Officer</w:t>
      </w:r>
      <w:r>
        <w:t xml:space="preserve"> — porte la stratégie et cette politique, pilote le Centre of Excell</w:t>
      </w:r>
      <w:r>
        <w:t>ence, arbitre les conflits inter-domaines.</w:t>
      </w:r>
    </w:p>
    <w:p w:rsidR="00F96EAA" w:rsidRDefault="00007354">
      <w:pPr>
        <w:pStyle w:val="Compact"/>
        <w:numPr>
          <w:ilvl w:val="0"/>
          <w:numId w:val="2"/>
        </w:numPr>
      </w:pPr>
      <w:r>
        <w:rPr>
          <w:b/>
          <w:bCs/>
        </w:rPr>
        <w:t>Data Protection Officer</w:t>
      </w:r>
      <w:r>
        <w:t xml:space="preserve"> — indépendant, rattaché à la direction générale ; conformité GDPR/CCPA, DPIA, registre, contact des autorités, pilotage des incidents ; dirige la Privacy Team.</w:t>
      </w:r>
    </w:p>
    <w:p w:rsidR="00F96EAA" w:rsidRDefault="00007354">
      <w:pPr>
        <w:pStyle w:val="Compact"/>
        <w:numPr>
          <w:ilvl w:val="0"/>
          <w:numId w:val="2"/>
        </w:numPr>
      </w:pPr>
      <w:r>
        <w:rPr>
          <w:b/>
          <w:bCs/>
        </w:rPr>
        <w:t>Data Governance Committee</w:t>
      </w:r>
      <w:r>
        <w:t xml:space="preserve"> (me</w:t>
      </w:r>
      <w:r>
        <w:t>nsuel) — approuve les politiques et standards, traite les sujets inter-départements, suit les KPIs.</w:t>
      </w:r>
    </w:p>
    <w:p w:rsidR="00F96EAA" w:rsidRDefault="00007354">
      <w:pPr>
        <w:pStyle w:val="Compact"/>
        <w:numPr>
          <w:ilvl w:val="0"/>
          <w:numId w:val="2"/>
        </w:numPr>
      </w:pPr>
      <w:r>
        <w:rPr>
          <w:b/>
          <w:bCs/>
        </w:rPr>
        <w:t>Data Stewards</w:t>
      </w:r>
      <w:r>
        <w:t xml:space="preserve"> (un par domaine) — qualité, classification, accès et conformité de leur domaine.</w:t>
      </w:r>
    </w:p>
    <w:p w:rsidR="00F96EAA" w:rsidRDefault="00007354">
      <w:pPr>
        <w:pStyle w:val="Compact"/>
        <w:numPr>
          <w:ilvl w:val="0"/>
          <w:numId w:val="2"/>
        </w:numPr>
      </w:pPr>
      <w:r>
        <w:rPr>
          <w:b/>
          <w:bCs/>
        </w:rPr>
        <w:t>Parties prenantes</w:t>
      </w:r>
      <w:r>
        <w:t xml:space="preserve"> — Head of Engineering (implémentation techn</w:t>
      </w:r>
      <w:r>
        <w:t>ique des contrôles, sous l’autorité du CTO : la gouvernance définit et audite, l’engineering met en œuvre), Legal (validation juridique), Marketing Director et Product Managers (conformité et privacy by design de leurs périmètres).</w:t>
      </w:r>
    </w:p>
    <w:p w:rsidR="00F96EAA" w:rsidRDefault="00007354">
      <w:pPr>
        <w:pStyle w:val="FirstParagraph"/>
      </w:pPr>
      <w:r>
        <w:rPr>
          <w:b/>
          <w:bCs/>
        </w:rPr>
        <w:t>RACI des activités clés</w:t>
      </w:r>
      <w:r>
        <w:t xml:space="preserve"> </w:t>
      </w:r>
      <w:r>
        <w:t>(A = rend compte, R = réalise, C = consulté, I = informé) :</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125"/>
        <w:gridCol w:w="686"/>
        <w:gridCol w:w="686"/>
        <w:gridCol w:w="915"/>
        <w:gridCol w:w="801"/>
        <w:gridCol w:w="915"/>
        <w:gridCol w:w="1030"/>
        <w:gridCol w:w="1030"/>
      </w:tblGrid>
      <w:tr w:rsidR="00F96EAA" w:rsidRPr="00007354" w:rsidTr="00007354">
        <w:trPr>
          <w:cnfStyle w:val="100000000000" w:firstRow="1" w:lastRow="0" w:firstColumn="0" w:lastColumn="0" w:oddVBand="0" w:evenVBand="0" w:oddHBand="0" w:evenHBand="0" w:firstRowFirstColumn="0" w:firstRowLastColumn="0" w:lastRowFirstColumn="0" w:lastRowLastColumn="0"/>
          <w:tblHeader/>
        </w:trPr>
        <w:tc>
          <w:tcPr>
            <w:tcW w:w="3203" w:type="dxa"/>
            <w:tcBorders>
              <w:bottom w:val="none" w:sz="0" w:space="0" w:color="auto"/>
            </w:tcBorders>
            <w:shd w:val="clear" w:color="auto" w:fill="EFEFEF"/>
          </w:tcPr>
          <w:p w:rsidR="00F96EAA" w:rsidRPr="00007354" w:rsidRDefault="00007354" w:rsidP="00007354">
            <w:pPr>
              <w:pStyle w:val="Compact"/>
              <w:spacing w:before="20" w:after="20"/>
              <w:rPr>
                <w:b/>
                <w:sz w:val="16"/>
              </w:rPr>
            </w:pPr>
            <w:r w:rsidRPr="00007354">
              <w:rPr>
                <w:b/>
                <w:sz w:val="16"/>
              </w:rPr>
              <w:t>Activité</w:t>
            </w:r>
          </w:p>
        </w:tc>
        <w:tc>
          <w:tcPr>
            <w:tcW w:w="533" w:type="dxa"/>
            <w:tcBorders>
              <w:bottom w:val="none" w:sz="0" w:space="0" w:color="auto"/>
            </w:tcBorders>
            <w:shd w:val="clear" w:color="auto" w:fill="EFEFEF"/>
          </w:tcPr>
          <w:p w:rsidR="00F96EAA" w:rsidRPr="00007354" w:rsidRDefault="00007354" w:rsidP="00007354">
            <w:pPr>
              <w:pStyle w:val="Compact"/>
              <w:spacing w:before="20" w:after="20"/>
              <w:jc w:val="center"/>
              <w:rPr>
                <w:b/>
                <w:sz w:val="16"/>
              </w:rPr>
            </w:pPr>
            <w:r w:rsidRPr="00007354">
              <w:rPr>
                <w:b/>
                <w:sz w:val="16"/>
              </w:rPr>
              <w:t>CDO</w:t>
            </w:r>
          </w:p>
        </w:tc>
        <w:tc>
          <w:tcPr>
            <w:tcW w:w="533" w:type="dxa"/>
            <w:tcBorders>
              <w:bottom w:val="none" w:sz="0" w:space="0" w:color="auto"/>
            </w:tcBorders>
            <w:shd w:val="clear" w:color="auto" w:fill="EFEFEF"/>
          </w:tcPr>
          <w:p w:rsidR="00F96EAA" w:rsidRPr="00007354" w:rsidRDefault="00007354" w:rsidP="00007354">
            <w:pPr>
              <w:pStyle w:val="Compact"/>
              <w:spacing w:before="20" w:after="20"/>
              <w:jc w:val="center"/>
              <w:rPr>
                <w:b/>
                <w:sz w:val="16"/>
              </w:rPr>
            </w:pPr>
            <w:r w:rsidRPr="00007354">
              <w:rPr>
                <w:b/>
                <w:sz w:val="16"/>
              </w:rPr>
              <w:t>DPO</w:t>
            </w:r>
          </w:p>
        </w:tc>
        <w:tc>
          <w:tcPr>
            <w:tcW w:w="711" w:type="dxa"/>
            <w:tcBorders>
              <w:bottom w:val="none" w:sz="0" w:space="0" w:color="auto"/>
            </w:tcBorders>
            <w:shd w:val="clear" w:color="auto" w:fill="EFEFEF"/>
          </w:tcPr>
          <w:p w:rsidR="00F96EAA" w:rsidRPr="00007354" w:rsidRDefault="00007354" w:rsidP="00007354">
            <w:pPr>
              <w:pStyle w:val="Compact"/>
              <w:spacing w:before="20" w:after="20"/>
              <w:jc w:val="center"/>
              <w:rPr>
                <w:b/>
                <w:sz w:val="16"/>
              </w:rPr>
            </w:pPr>
            <w:r w:rsidRPr="00007354">
              <w:rPr>
                <w:b/>
                <w:sz w:val="16"/>
              </w:rPr>
              <w:t>Head Eng.</w:t>
            </w:r>
          </w:p>
        </w:tc>
        <w:tc>
          <w:tcPr>
            <w:tcW w:w="622" w:type="dxa"/>
            <w:tcBorders>
              <w:bottom w:val="none" w:sz="0" w:space="0" w:color="auto"/>
            </w:tcBorders>
            <w:shd w:val="clear" w:color="auto" w:fill="EFEFEF"/>
          </w:tcPr>
          <w:p w:rsidR="00F96EAA" w:rsidRPr="00007354" w:rsidRDefault="00007354" w:rsidP="00007354">
            <w:pPr>
              <w:pStyle w:val="Compact"/>
              <w:spacing w:before="20" w:after="20"/>
              <w:jc w:val="center"/>
              <w:rPr>
                <w:b/>
                <w:sz w:val="16"/>
              </w:rPr>
            </w:pPr>
            <w:r w:rsidRPr="00007354">
              <w:rPr>
                <w:b/>
                <w:sz w:val="16"/>
              </w:rPr>
              <w:t>Legal</w:t>
            </w:r>
          </w:p>
        </w:tc>
        <w:tc>
          <w:tcPr>
            <w:tcW w:w="711" w:type="dxa"/>
            <w:tcBorders>
              <w:bottom w:val="none" w:sz="0" w:space="0" w:color="auto"/>
            </w:tcBorders>
            <w:shd w:val="clear" w:color="auto" w:fill="EFEFEF"/>
          </w:tcPr>
          <w:p w:rsidR="00F96EAA" w:rsidRPr="00007354" w:rsidRDefault="00007354" w:rsidP="00007354">
            <w:pPr>
              <w:pStyle w:val="Compact"/>
              <w:spacing w:before="20" w:after="20"/>
              <w:jc w:val="center"/>
              <w:rPr>
                <w:b/>
                <w:sz w:val="16"/>
              </w:rPr>
            </w:pPr>
            <w:r w:rsidRPr="00007354">
              <w:rPr>
                <w:b/>
                <w:sz w:val="16"/>
              </w:rPr>
              <w:t>Steward</w:t>
            </w:r>
          </w:p>
        </w:tc>
        <w:tc>
          <w:tcPr>
            <w:tcW w:w="800" w:type="dxa"/>
            <w:tcBorders>
              <w:bottom w:val="none" w:sz="0" w:space="0" w:color="auto"/>
            </w:tcBorders>
            <w:shd w:val="clear" w:color="auto" w:fill="EFEFEF"/>
          </w:tcPr>
          <w:p w:rsidR="00F96EAA" w:rsidRPr="00007354" w:rsidRDefault="00007354" w:rsidP="00007354">
            <w:pPr>
              <w:pStyle w:val="Compact"/>
              <w:spacing w:before="20" w:after="20"/>
              <w:jc w:val="center"/>
              <w:rPr>
                <w:b/>
                <w:sz w:val="16"/>
              </w:rPr>
            </w:pPr>
            <w:r w:rsidRPr="00007354">
              <w:rPr>
                <w:b/>
                <w:sz w:val="16"/>
              </w:rPr>
              <w:t>Engineers</w:t>
            </w:r>
          </w:p>
        </w:tc>
        <w:tc>
          <w:tcPr>
            <w:tcW w:w="800" w:type="dxa"/>
            <w:tcBorders>
              <w:bottom w:val="none" w:sz="0" w:space="0" w:color="auto"/>
            </w:tcBorders>
            <w:shd w:val="clear" w:color="auto" w:fill="EFEFEF"/>
          </w:tcPr>
          <w:p w:rsidR="00F96EAA" w:rsidRPr="00007354" w:rsidRDefault="00007354" w:rsidP="00007354">
            <w:pPr>
              <w:pStyle w:val="Compact"/>
              <w:spacing w:before="20" w:after="20"/>
              <w:jc w:val="center"/>
              <w:rPr>
                <w:b/>
                <w:sz w:val="16"/>
              </w:rPr>
            </w:pPr>
            <w:r w:rsidRPr="00007354">
              <w:rPr>
                <w:b/>
                <w:sz w:val="16"/>
              </w:rPr>
              <w:t>PM / Mktg</w:t>
            </w:r>
          </w:p>
        </w:tc>
      </w:tr>
      <w:tr w:rsidR="00F96EAA" w:rsidRPr="00007354" w:rsidTr="00007354">
        <w:tc>
          <w:tcPr>
            <w:tcW w:w="3203" w:type="dxa"/>
            <w:shd w:val="clear" w:color="auto" w:fill="auto"/>
          </w:tcPr>
          <w:p w:rsidR="00F96EAA" w:rsidRPr="00007354" w:rsidRDefault="00007354" w:rsidP="00007354">
            <w:pPr>
              <w:pStyle w:val="Compact"/>
              <w:spacing w:before="20" w:after="20"/>
              <w:rPr>
                <w:sz w:val="16"/>
              </w:rPr>
            </w:pPr>
            <w:r w:rsidRPr="00007354">
              <w:rPr>
                <w:sz w:val="16"/>
              </w:rPr>
              <w:t>Définir et réviser la politique</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A/R</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622"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I</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C</w:t>
            </w:r>
          </w:p>
        </w:tc>
      </w:tr>
      <w:tr w:rsidR="00F96EAA" w:rsidRPr="00007354" w:rsidTr="00007354">
        <w:tc>
          <w:tcPr>
            <w:tcW w:w="3203" w:type="dxa"/>
            <w:shd w:val="clear" w:color="auto" w:fill="auto"/>
          </w:tcPr>
          <w:p w:rsidR="00F96EAA" w:rsidRPr="00007354" w:rsidRDefault="00007354" w:rsidP="00007354">
            <w:pPr>
              <w:pStyle w:val="Compact"/>
              <w:spacing w:before="20" w:after="20"/>
              <w:rPr>
                <w:sz w:val="16"/>
              </w:rPr>
            </w:pPr>
            <w:r w:rsidRPr="00007354">
              <w:rPr>
                <w:sz w:val="16"/>
              </w:rPr>
              <w:t>Valider un nouveau traitement (DPIA)</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I</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A/R</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622"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R</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I</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R</w:t>
            </w:r>
          </w:p>
        </w:tc>
      </w:tr>
      <w:tr w:rsidR="00F96EAA" w:rsidRPr="00007354" w:rsidTr="00007354">
        <w:tc>
          <w:tcPr>
            <w:tcW w:w="3203" w:type="dxa"/>
            <w:shd w:val="clear" w:color="auto" w:fill="auto"/>
          </w:tcPr>
          <w:p w:rsidR="00F96EAA" w:rsidRPr="00007354" w:rsidRDefault="00007354" w:rsidP="00007354">
            <w:pPr>
              <w:pStyle w:val="Compact"/>
              <w:spacing w:before="20" w:after="20"/>
              <w:rPr>
                <w:sz w:val="16"/>
              </w:rPr>
            </w:pPr>
            <w:r w:rsidRPr="00007354">
              <w:rPr>
                <w:sz w:val="16"/>
              </w:rPr>
              <w:t>Qualité et classification d’un domaine</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I</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622" w:type="dxa"/>
            <w:shd w:val="clear" w:color="auto" w:fill="auto"/>
          </w:tcPr>
          <w:p w:rsidR="00F96EAA" w:rsidRPr="00007354" w:rsidRDefault="00007354" w:rsidP="00007354">
            <w:pPr>
              <w:pStyle w:val="Compact"/>
              <w:spacing w:before="20" w:after="20"/>
              <w:jc w:val="center"/>
              <w:rPr>
                <w:sz w:val="16"/>
              </w:rPr>
            </w:pPr>
            <w:r w:rsidRPr="00007354">
              <w:rPr>
                <w:sz w:val="16"/>
              </w:rPr>
              <w:t>I</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A/R</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R</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C</w:t>
            </w:r>
          </w:p>
        </w:tc>
      </w:tr>
      <w:tr w:rsidR="00F96EAA" w:rsidRPr="00007354" w:rsidTr="00007354">
        <w:tc>
          <w:tcPr>
            <w:tcW w:w="3203" w:type="dxa"/>
            <w:shd w:val="clear" w:color="auto" w:fill="auto"/>
          </w:tcPr>
          <w:p w:rsidR="00F96EAA" w:rsidRPr="00007354" w:rsidRDefault="00007354" w:rsidP="00007354">
            <w:pPr>
              <w:pStyle w:val="Compact"/>
              <w:spacing w:before="20" w:after="20"/>
              <w:rPr>
                <w:sz w:val="16"/>
              </w:rPr>
            </w:pPr>
            <w:r w:rsidRPr="00007354">
              <w:rPr>
                <w:sz w:val="16"/>
              </w:rPr>
              <w:t>Implémenter contrôles et pipelines</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I</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A/R</w:t>
            </w:r>
          </w:p>
        </w:tc>
        <w:tc>
          <w:tcPr>
            <w:tcW w:w="622" w:type="dxa"/>
            <w:shd w:val="clear" w:color="auto" w:fill="auto"/>
          </w:tcPr>
          <w:p w:rsidR="00F96EAA" w:rsidRPr="00007354" w:rsidRDefault="00007354" w:rsidP="00007354">
            <w:pPr>
              <w:pStyle w:val="Compact"/>
              <w:spacing w:before="20" w:after="20"/>
              <w:jc w:val="center"/>
              <w:rPr>
                <w:sz w:val="16"/>
              </w:rPr>
            </w:pPr>
            <w:r w:rsidRPr="00007354">
              <w:rPr>
                <w:sz w:val="16"/>
              </w:rPr>
              <w:t>I</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R</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I</w:t>
            </w:r>
          </w:p>
        </w:tc>
      </w:tr>
      <w:tr w:rsidR="00F96EAA" w:rsidRPr="00007354" w:rsidTr="00007354">
        <w:tc>
          <w:tcPr>
            <w:tcW w:w="3203" w:type="dxa"/>
            <w:shd w:val="clear" w:color="auto" w:fill="auto"/>
          </w:tcPr>
          <w:p w:rsidR="00F96EAA" w:rsidRPr="00007354" w:rsidRDefault="00007354" w:rsidP="00007354">
            <w:pPr>
              <w:pStyle w:val="Compact"/>
              <w:spacing w:before="20" w:after="20"/>
              <w:rPr>
                <w:sz w:val="16"/>
              </w:rPr>
            </w:pPr>
            <w:r w:rsidRPr="00007354">
              <w:rPr>
                <w:sz w:val="16"/>
              </w:rPr>
              <w:t>Traiter les demandes des personnes</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I</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A</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622"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R</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R</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I</w:t>
            </w:r>
          </w:p>
        </w:tc>
      </w:tr>
      <w:tr w:rsidR="00F96EAA" w:rsidRPr="00007354" w:rsidTr="00007354">
        <w:tc>
          <w:tcPr>
            <w:tcW w:w="3203" w:type="dxa"/>
            <w:shd w:val="clear" w:color="auto" w:fill="auto"/>
          </w:tcPr>
          <w:p w:rsidR="00F96EAA" w:rsidRPr="00007354" w:rsidRDefault="00007354" w:rsidP="00007354">
            <w:pPr>
              <w:pStyle w:val="Compact"/>
              <w:spacing w:before="20" w:after="20"/>
              <w:rPr>
                <w:sz w:val="16"/>
              </w:rPr>
            </w:pPr>
            <w:r w:rsidRPr="00007354">
              <w:rPr>
                <w:sz w:val="16"/>
              </w:rPr>
              <w:t>Gérer un incident de données personnelles</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A/R</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R</w:t>
            </w:r>
          </w:p>
        </w:tc>
        <w:tc>
          <w:tcPr>
            <w:tcW w:w="622"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R</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I</w:t>
            </w:r>
          </w:p>
        </w:tc>
      </w:tr>
      <w:tr w:rsidR="00F96EAA" w:rsidRPr="00007354" w:rsidTr="00007354">
        <w:tc>
          <w:tcPr>
            <w:tcW w:w="3203" w:type="dxa"/>
            <w:shd w:val="clear" w:color="auto" w:fill="auto"/>
          </w:tcPr>
          <w:p w:rsidR="00F96EAA" w:rsidRPr="00007354" w:rsidRDefault="00007354" w:rsidP="00007354">
            <w:pPr>
              <w:pStyle w:val="Compact"/>
              <w:spacing w:before="20" w:after="20"/>
              <w:rPr>
                <w:sz w:val="16"/>
              </w:rPr>
            </w:pPr>
            <w:r w:rsidRPr="00007354">
              <w:rPr>
                <w:sz w:val="16"/>
              </w:rPr>
              <w:t>Auditer les biais de recommandation</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A</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R</w:t>
            </w:r>
          </w:p>
        </w:tc>
        <w:tc>
          <w:tcPr>
            <w:tcW w:w="622"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R</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C</w:t>
            </w:r>
          </w:p>
        </w:tc>
      </w:tr>
      <w:tr w:rsidR="00F96EAA" w:rsidRPr="00007354" w:rsidTr="00007354">
        <w:tc>
          <w:tcPr>
            <w:tcW w:w="3203" w:type="dxa"/>
            <w:shd w:val="clear" w:color="auto" w:fill="auto"/>
          </w:tcPr>
          <w:p w:rsidR="00F96EAA" w:rsidRPr="00007354" w:rsidRDefault="00007354" w:rsidP="00007354">
            <w:pPr>
              <w:pStyle w:val="Compact"/>
              <w:spacing w:before="20" w:after="20"/>
              <w:rPr>
                <w:sz w:val="16"/>
              </w:rPr>
            </w:pPr>
            <w:r w:rsidRPr="00007354">
              <w:rPr>
                <w:sz w:val="16"/>
              </w:rPr>
              <w:t>Former et animer la culture data</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A/R</w:t>
            </w:r>
          </w:p>
        </w:tc>
        <w:tc>
          <w:tcPr>
            <w:tcW w:w="533" w:type="dxa"/>
            <w:shd w:val="clear" w:color="auto" w:fill="auto"/>
          </w:tcPr>
          <w:p w:rsidR="00F96EAA" w:rsidRPr="00007354" w:rsidRDefault="00007354" w:rsidP="00007354">
            <w:pPr>
              <w:pStyle w:val="Compact"/>
              <w:spacing w:before="20" w:after="20"/>
              <w:jc w:val="center"/>
              <w:rPr>
                <w:sz w:val="16"/>
              </w:rPr>
            </w:pPr>
            <w:r w:rsidRPr="00007354">
              <w:rPr>
                <w:sz w:val="16"/>
              </w:rPr>
              <w:t>R</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C</w:t>
            </w:r>
          </w:p>
        </w:tc>
        <w:tc>
          <w:tcPr>
            <w:tcW w:w="622" w:type="dxa"/>
            <w:shd w:val="clear" w:color="auto" w:fill="auto"/>
          </w:tcPr>
          <w:p w:rsidR="00F96EAA" w:rsidRPr="00007354" w:rsidRDefault="00007354" w:rsidP="00007354">
            <w:pPr>
              <w:pStyle w:val="Compact"/>
              <w:spacing w:before="20" w:after="20"/>
              <w:jc w:val="center"/>
              <w:rPr>
                <w:sz w:val="16"/>
              </w:rPr>
            </w:pPr>
            <w:r w:rsidRPr="00007354">
              <w:rPr>
                <w:sz w:val="16"/>
              </w:rPr>
              <w:t>I</w:t>
            </w:r>
          </w:p>
        </w:tc>
        <w:tc>
          <w:tcPr>
            <w:tcW w:w="711" w:type="dxa"/>
            <w:shd w:val="clear" w:color="auto" w:fill="auto"/>
          </w:tcPr>
          <w:p w:rsidR="00F96EAA" w:rsidRPr="00007354" w:rsidRDefault="00007354" w:rsidP="00007354">
            <w:pPr>
              <w:pStyle w:val="Compact"/>
              <w:spacing w:before="20" w:after="20"/>
              <w:jc w:val="center"/>
              <w:rPr>
                <w:sz w:val="16"/>
              </w:rPr>
            </w:pPr>
            <w:r w:rsidRPr="00007354">
              <w:rPr>
                <w:sz w:val="16"/>
              </w:rPr>
              <w:t>R</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I</w:t>
            </w:r>
          </w:p>
        </w:tc>
        <w:tc>
          <w:tcPr>
            <w:tcW w:w="800" w:type="dxa"/>
            <w:shd w:val="clear" w:color="auto" w:fill="auto"/>
          </w:tcPr>
          <w:p w:rsidR="00F96EAA" w:rsidRPr="00007354" w:rsidRDefault="00007354" w:rsidP="00007354">
            <w:pPr>
              <w:pStyle w:val="Compact"/>
              <w:spacing w:before="20" w:after="20"/>
              <w:jc w:val="center"/>
              <w:rPr>
                <w:sz w:val="16"/>
              </w:rPr>
            </w:pPr>
            <w:r w:rsidRPr="00007354">
              <w:rPr>
                <w:sz w:val="16"/>
              </w:rPr>
              <w:t>C</w:t>
            </w:r>
          </w:p>
        </w:tc>
      </w:tr>
    </w:tbl>
    <w:p w:rsidR="00F96EAA" w:rsidRDefault="00007354">
      <w:pPr>
        <w:pStyle w:val="Titre2"/>
      </w:pPr>
      <w:bookmarkStart w:id="7" w:name="application-exceptions-et-suivi"/>
      <w:bookmarkEnd w:id="6"/>
      <w:r>
        <w:t>7. Application, exceptions et suivi</w:t>
      </w:r>
    </w:p>
    <w:p w:rsidR="00F96EAA" w:rsidRDefault="00007354">
      <w:pPr>
        <w:pStyle w:val="FirstParagraph"/>
      </w:pPr>
      <w:r>
        <w:t xml:space="preserve">Le respect de cette politique est une obligation professionnelle ; les manquements sont traités selon les procédures RH et peuvent entraîner le retrait des accès. Toute exception est demandée par écrit au Data Steward, validée par le CDO (et le DPO si des </w:t>
      </w:r>
      <w:r>
        <w:t xml:space="preserve">données personnelles sont concernées), limitée dans le temps et consignée. Le CDO rend compte trimestriellement au comité exécutif des KPIs de gouvernance (qualité, délais de réponse aux droits, incidents, couverture du catalogue, formation). La politique </w:t>
      </w:r>
      <w:r>
        <w:t>est revue chaque année ; la version 1.0 est déployée d’abord sur le domaine User Data (voir plan d’implémentation).</w:t>
      </w:r>
    </w:p>
    <w:bookmarkEnd w:id="7"/>
    <w:sectPr w:rsidR="00F96EAA" w:rsidSect="00007354">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021" w:right="1134" w:bottom="1021"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7354" w:rsidRDefault="00007354" w:rsidP="00007354">
      <w:pPr>
        <w:spacing w:after="0"/>
      </w:pPr>
      <w:r>
        <w:separator/>
      </w:r>
    </w:p>
  </w:endnote>
  <w:endnote w:type="continuationSeparator" w:id="0">
    <w:p w:rsidR="00007354" w:rsidRDefault="00007354" w:rsidP="000073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354" w:rsidRDefault="0000735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354" w:rsidRPr="00007354" w:rsidRDefault="00007354" w:rsidP="00007354">
    <w:pPr>
      <w:pStyle w:val="Pieddepage"/>
      <w:jc w:val="right"/>
      <w:rPr>
        <w:color w:val="8A8A8A"/>
        <w:sz w:val="16"/>
      </w:rPr>
    </w:pPr>
    <w:r w:rsidRPr="00007354">
      <w:rPr>
        <w:color w:val="8A8A8A"/>
        <w:sz w:val="16"/>
      </w:rPr>
      <w:t xml:space="preserve">Spotify — Data Governance · Emeline ROBLOT · Septembre 2026 · Page </w:t>
    </w:r>
    <w:r>
      <w:rPr>
        <w:color w:val="8A8A8A"/>
        <w:sz w:val="16"/>
      </w:rPr>
      <w:fldChar w:fldCharType="begin"/>
    </w:r>
    <w:r>
      <w:rPr>
        <w:color w:val="8A8A8A"/>
        <w:sz w:val="16"/>
      </w:rPr>
      <w:instrText xml:space="preserve"> PAGE  \* MERGEFORMAT </w:instrText>
    </w:r>
    <w:r>
      <w:rPr>
        <w:color w:val="8A8A8A"/>
        <w:sz w:val="16"/>
      </w:rPr>
      <w:fldChar w:fldCharType="separate"/>
    </w:r>
    <w:r>
      <w:rPr>
        <w:noProof/>
        <w:color w:val="8A8A8A"/>
        <w:sz w:val="16"/>
      </w:rPr>
      <w:t>2</w:t>
    </w:r>
    <w:r>
      <w:rPr>
        <w:color w:val="8A8A8A"/>
        <w:sz w:val="16"/>
      </w:rPr>
      <w:fldChar w:fldCharType="end"/>
    </w:r>
    <w:r>
      <w:rPr>
        <w:color w:val="8A8A8A"/>
        <w:sz w:val="16"/>
      </w:rPr>
      <w:t xml:space="preserve"> / </w:t>
    </w:r>
    <w:r>
      <w:rPr>
        <w:color w:val="8A8A8A"/>
        <w:sz w:val="16"/>
      </w:rPr>
      <w:fldChar w:fldCharType="begin"/>
    </w:r>
    <w:r>
      <w:rPr>
        <w:color w:val="8A8A8A"/>
        <w:sz w:val="16"/>
      </w:rPr>
      <w:instrText xml:space="preserve"> NUMPAGES  \* MERGEFORMAT </w:instrText>
    </w:r>
    <w:r>
      <w:rPr>
        <w:color w:val="8A8A8A"/>
        <w:sz w:val="16"/>
      </w:rPr>
      <w:fldChar w:fldCharType="separate"/>
    </w:r>
    <w:r>
      <w:rPr>
        <w:noProof/>
        <w:color w:val="8A8A8A"/>
        <w:sz w:val="16"/>
      </w:rPr>
      <w:t>3</w:t>
    </w:r>
    <w:r>
      <w:rPr>
        <w:color w:val="8A8A8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354" w:rsidRDefault="000073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7354" w:rsidRDefault="00007354" w:rsidP="00007354">
      <w:pPr>
        <w:spacing w:after="0"/>
      </w:pPr>
      <w:r>
        <w:separator/>
      </w:r>
    </w:p>
  </w:footnote>
  <w:footnote w:type="continuationSeparator" w:id="0">
    <w:p w:rsidR="00007354" w:rsidRDefault="00007354" w:rsidP="000073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354" w:rsidRDefault="0000735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354" w:rsidRDefault="0000735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354" w:rsidRDefault="0000735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6A0495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90D9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
  <w:rsids>
    <w:rsidRoot w:val="00F96EAA"/>
    <w:rsid w:val="00007354"/>
    <w:rsid w:val="00F96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4B71F03-CE7F-4FFD-9445-EF116070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pPr>
    <w:rPr>
      <w:rFonts w:ascii="Calibri" w:hAnsi="Calibri" w:cs="Calibri"/>
      <w:sz w:val="20"/>
    </w:rPr>
  </w:style>
  <w:style w:type="paragraph" w:styleId="Titre1">
    <w:name w:val="heading 1"/>
    <w:basedOn w:val="Normal"/>
    <w:next w:val="Corpsdetexte"/>
    <w:link w:val="Titre1Car"/>
    <w:uiPriority w:val="9"/>
    <w:qFormat/>
    <w:rsid w:val="00A10FD9"/>
    <w:pPr>
      <w:keepNext/>
      <w:keepLines/>
      <w:spacing w:before="160" w:after="60"/>
      <w:outlineLvl w:val="0"/>
    </w:pPr>
    <w:rPr>
      <w:rFonts w:eastAsiaTheme="majorEastAsia"/>
      <w:b/>
      <w:color w:val="1DB954"/>
      <w:sz w:val="32"/>
      <w:szCs w:val="40"/>
    </w:rPr>
  </w:style>
  <w:style w:type="paragraph" w:styleId="Titre2">
    <w:name w:val="heading 2"/>
    <w:basedOn w:val="Normal"/>
    <w:next w:val="Corpsdetexte"/>
    <w:link w:val="Titre2Car"/>
    <w:uiPriority w:val="9"/>
    <w:semiHidden/>
    <w:unhideWhenUsed/>
    <w:qFormat/>
    <w:rsid w:val="00A10FD9"/>
    <w:pPr>
      <w:keepNext/>
      <w:keepLines/>
      <w:spacing w:before="160" w:after="60"/>
      <w:outlineLvl w:val="1"/>
    </w:pPr>
    <w:rPr>
      <w:rFonts w:eastAsiaTheme="majorEastAsia"/>
      <w:b/>
      <w:color w:val="191414"/>
      <w:sz w:val="24"/>
      <w:szCs w:val="32"/>
    </w:rPr>
  </w:style>
  <w:style w:type="paragraph" w:styleId="Titre3">
    <w:name w:val="heading 3"/>
    <w:basedOn w:val="Normal"/>
    <w:next w:val="Corpsdetexte"/>
    <w:link w:val="Titre3Car"/>
    <w:uiPriority w:val="9"/>
    <w:semiHidden/>
    <w:unhideWhenUsed/>
    <w:qFormat/>
    <w:rsid w:val="00A10FD9"/>
    <w:pPr>
      <w:keepNext/>
      <w:keepLines/>
      <w:spacing w:before="160" w:after="60"/>
      <w:outlineLvl w:val="2"/>
    </w:pPr>
    <w:rPr>
      <w:rFonts w:eastAsiaTheme="majorEastAsia"/>
      <w:b/>
      <w:color w:val="191414"/>
      <w:sz w:val="22"/>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60"/>
      <w:contextualSpacing/>
      <w:jc w:val="center"/>
    </w:pPr>
    <w:rPr>
      <w:rFonts w:eastAsiaTheme="majorEastAsia"/>
      <w:b/>
      <w:color w:val="1DB954"/>
      <w:sz w:val="40"/>
      <w:szCs w:val="56"/>
    </w:rPr>
  </w:style>
  <w:style w:type="character" w:customStyle="1" w:styleId="TitreCar">
    <w:name w:val="Titre Car"/>
    <w:basedOn w:val="Policepardfaut"/>
    <w:link w:val="Titre"/>
    <w:uiPriority w:val="10"/>
    <w:rsid w:val="00A10FD9"/>
    <w:rPr>
      <w:rFonts w:ascii="Calibri" w:eastAsiaTheme="majorEastAsia" w:hAnsi="Calibri" w:cs="Calibri"/>
      <w:b/>
      <w:color w:val="1DB954"/>
      <w:sz w:val="40"/>
      <w:szCs w:val="56"/>
    </w:rPr>
  </w:style>
  <w:style w:type="paragraph" w:styleId="Sous-titre">
    <w:name w:val="Subtitle"/>
    <w:basedOn w:val="Titre"/>
    <w:next w:val="Corpsdetexte"/>
    <w:link w:val="Sous-titreCar"/>
    <w:uiPriority w:val="11"/>
    <w:qFormat/>
    <w:rsid w:val="00A10FD9"/>
    <w:pPr>
      <w:numPr>
        <w:ilvl w:val="1"/>
      </w:numPr>
    </w:pPr>
    <w:rPr>
      <w:color w:val="8A8A8A"/>
      <w:spacing w:val="15"/>
      <w:sz w:val="24"/>
      <w:szCs w:val="28"/>
    </w:rPr>
  </w:style>
  <w:style w:type="character" w:customStyle="1" w:styleId="Sous-titreCar">
    <w:name w:val="Sous-titre Car"/>
    <w:basedOn w:val="Policepardfaut"/>
    <w:link w:val="Sous-titre"/>
    <w:uiPriority w:val="11"/>
    <w:rsid w:val="00A10FD9"/>
    <w:rPr>
      <w:rFonts w:ascii="Calibri" w:eastAsiaTheme="majorEastAsia" w:hAnsi="Calibri" w:cs="Calibri"/>
      <w:b/>
      <w:color w:val="8A8A8A"/>
      <w:spacing w:val="15"/>
      <w:szCs w:val="28"/>
    </w:rPr>
  </w:style>
  <w:style w:type="paragraph" w:customStyle="1" w:styleId="Author">
    <w:name w:val="Author"/>
    <w:basedOn w:val="Titre"/>
    <w:next w:val="Corpsdetexte"/>
    <w:qFormat/>
    <w:pPr>
      <w:keepNext/>
      <w:keepLines/>
      <w:spacing w:after="40"/>
    </w:pPr>
    <w:rPr>
      <w:color w:val="8A8A8A"/>
      <w:sz w:val="20"/>
      <w:szCs w:val="24"/>
    </w:rPr>
  </w:style>
  <w:style w:type="paragraph" w:styleId="Date">
    <w:name w:val="Date"/>
    <w:basedOn w:val="Titre"/>
    <w:next w:val="Corpsdetexte"/>
    <w:qFormat/>
    <w:pPr>
      <w:keepNext/>
      <w:keepLines/>
      <w:spacing w:after="40"/>
    </w:pPr>
    <w:rPr>
      <w:color w:val="8A8A8A"/>
      <w:sz w:val="20"/>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Corpsdetexte"/>
    <w:qFormat/>
    <w:pPr>
      <w:keepNext/>
      <w:keepLines/>
      <w:spacing w:before="100" w:after="300"/>
    </w:pPr>
    <w:rPr>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Calibri" w:eastAsiaTheme="majorEastAsia" w:hAnsi="Calibri" w:cs="Calibri"/>
      <w:b/>
      <w:color w:val="1DB954"/>
      <w:sz w:val="32"/>
      <w:szCs w:val="40"/>
    </w:rPr>
  </w:style>
  <w:style w:type="character" w:customStyle="1" w:styleId="Titre2Car">
    <w:name w:val="Titre 2 Car"/>
    <w:basedOn w:val="Policepardfaut"/>
    <w:link w:val="Titre2"/>
    <w:uiPriority w:val="9"/>
    <w:semiHidden/>
    <w:rsid w:val="00A10FD9"/>
    <w:rPr>
      <w:rFonts w:ascii="Calibri" w:eastAsiaTheme="majorEastAsia" w:hAnsi="Calibri" w:cs="Calibri"/>
      <w:b/>
      <w:color w:val="191414"/>
      <w:szCs w:val="32"/>
    </w:rPr>
  </w:style>
  <w:style w:type="character" w:customStyle="1" w:styleId="Titre3Car">
    <w:name w:val="Titre 3 Car"/>
    <w:basedOn w:val="Policepardfaut"/>
    <w:link w:val="Titre3"/>
    <w:uiPriority w:val="9"/>
    <w:semiHidden/>
    <w:rsid w:val="00A10FD9"/>
    <w:rPr>
      <w:rFonts w:ascii="Calibri" w:eastAsiaTheme="majorEastAsia" w:hAnsi="Calibri" w:cs="Calibri"/>
      <w:b/>
      <w:color w:val="191414"/>
      <w:sz w:val="22"/>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nhideWhenUsed/>
    <w:rsid w:val="00007354"/>
    <w:pPr>
      <w:tabs>
        <w:tab w:val="center" w:pos="4536"/>
        <w:tab w:val="right" w:pos="9072"/>
      </w:tabs>
      <w:spacing w:after="0"/>
    </w:pPr>
  </w:style>
  <w:style w:type="character" w:customStyle="1" w:styleId="En-tteCar">
    <w:name w:val="En-tête Car"/>
    <w:basedOn w:val="Policepardfaut"/>
    <w:link w:val="En-tte"/>
    <w:rsid w:val="00007354"/>
    <w:rPr>
      <w:rFonts w:ascii="Calibri" w:hAnsi="Calibri" w:cs="Calibri"/>
      <w:sz w:val="20"/>
    </w:rPr>
  </w:style>
  <w:style w:type="paragraph" w:styleId="Pieddepage">
    <w:name w:val="footer"/>
    <w:basedOn w:val="Normal"/>
    <w:link w:val="PieddepageCar"/>
    <w:unhideWhenUsed/>
    <w:rsid w:val="00007354"/>
    <w:pPr>
      <w:tabs>
        <w:tab w:val="center" w:pos="4536"/>
        <w:tab w:val="right" w:pos="9072"/>
      </w:tabs>
      <w:spacing w:after="0"/>
    </w:pPr>
  </w:style>
  <w:style w:type="character" w:customStyle="1" w:styleId="PieddepageCar">
    <w:name w:val="Pied de page Car"/>
    <w:basedOn w:val="Policepardfaut"/>
    <w:link w:val="Pieddepage"/>
    <w:rsid w:val="00007354"/>
    <w:rPr>
      <w:rFonts w:ascii="Calibri" w:hAnsi="Calibri"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1530</Words>
  <Characters>8920</Characters>
  <Application>Microsoft Office Word</Application>
  <DocSecurity>0</DocSecurity>
  <Lines>296</Lines>
  <Paragraphs>240</Paragraphs>
  <ScaleCrop>false</ScaleCrop>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Governance Policy — Spotify</dc:title>
  <dc:creator>Emeline ROBLOT — Data Governance Specialist</dc:creator>
  <cp:keywords/>
  <cp:lastModifiedBy>Emeline</cp:lastModifiedBy>
  <cp:revision>2</cp:revision>
  <dcterms:created xsi:type="dcterms:W3CDTF">2026-09-19T07:29:00Z</dcterms:created>
  <dcterms:modified xsi:type="dcterms:W3CDTF">2026-09-19T07:29:00Z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Septembre 2026</vt:lpwstr>
  </property>
  <property fmtid="{D5CDD505-2E9C-101B-9397-08002B2CF9AE}" pid="3" name="subtitle">
    <vt:lpwstr>Politique de gouvernance des données</vt:lpwstr>
  </property>
</Properties>
</file>