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3B50" w:rsidRDefault="008B085D">
      <w:pPr>
        <w:pStyle w:val="Titre"/>
      </w:pPr>
      <w:bookmarkStart w:id="0" w:name="_GoBack"/>
      <w:bookmarkEnd w:id="0"/>
      <w:r>
        <w:t>Implementation Plan — Spotify</w:t>
      </w:r>
    </w:p>
    <w:p w:rsidR="00EE3B50" w:rsidRDefault="008B085D">
      <w:pPr>
        <w:pStyle w:val="Sous-titre"/>
      </w:pPr>
      <w:r>
        <w:t>Plan de déploiement du framework et pilote User Data</w:t>
      </w:r>
    </w:p>
    <w:p w:rsidR="00EE3B50" w:rsidRDefault="008B085D">
      <w:pPr>
        <w:pStyle w:val="Author"/>
      </w:pPr>
      <w:r>
        <w:t>Emeline ROBLOT — Data Governance Specialist</w:t>
      </w:r>
    </w:p>
    <w:p w:rsidR="00EE3B50" w:rsidRDefault="008B085D">
      <w:pPr>
        <w:pStyle w:val="Date"/>
      </w:pPr>
      <w:r>
        <w:t>Septembre 2026</w:t>
      </w:r>
    </w:p>
    <w:p w:rsidR="00EE3B50" w:rsidRDefault="008B085D">
      <w:pPr>
        <w:pStyle w:val="Titre2"/>
      </w:pPr>
      <w:bookmarkStart w:id="1" w:name="X39f6e01e3da74535cc25d3eadb3c7e457c5a7b6"/>
      <w:r>
        <w:t>1. Modèle organisationnel : Centre of Excellence (CoE)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2495"/>
        <w:gridCol w:w="2703"/>
        <w:gridCol w:w="3119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4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Modèle (Organizational Models Overview)</w:t>
            </w:r>
          </w:p>
        </w:tc>
        <w:tc>
          <w:tcPr>
            <w:tcW w:w="1939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Avantages</w:t>
            </w:r>
          </w:p>
        </w:tc>
        <w:tc>
          <w:tcPr>
            <w:tcW w:w="2101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Failles</w:t>
            </w:r>
          </w:p>
        </w:tc>
        <w:tc>
          <w:tcPr>
            <w:tcW w:w="2424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Verdict pour Spotify</w:t>
            </w:r>
          </w:p>
        </w:tc>
      </w:tr>
      <w:tr w:rsidR="00EE3B50" w:rsidRPr="008B085D" w:rsidTr="008B085D">
        <w:tc>
          <w:tcPr>
            <w:tcW w:w="145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Centralisé</w:t>
            </w:r>
          </w:p>
        </w:tc>
        <w:tc>
          <w:tcPr>
            <w:tcW w:w="193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Simple, priorisation claire</w:t>
            </w:r>
          </w:p>
        </w:tc>
        <w:tc>
          <w:tcPr>
            <w:tcW w:w="2101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Les métiers ne s’approprient pas la donnée ; goulot d’étranglement</w:t>
            </w:r>
          </w:p>
        </w:tc>
        <w:tc>
          <w:tcPr>
            <w:tcW w:w="242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Non : 180+ pays, squads autonomes</w:t>
            </w:r>
          </w:p>
        </w:tc>
      </w:tr>
      <w:tr w:rsidR="00EE3B50" w:rsidRPr="008B085D" w:rsidTr="008B085D">
        <w:tc>
          <w:tcPr>
            <w:tcW w:w="145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Embedded</w:t>
            </w:r>
          </w:p>
        </w:tc>
        <w:tc>
          <w:tcPr>
            <w:tcW w:w="193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Agile, proche du métier</w:t>
            </w:r>
          </w:p>
        </w:tc>
        <w:tc>
          <w:tcPr>
            <w:tcW w:w="2101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Pas de source unique de vérité, silos</w:t>
            </w:r>
          </w:p>
        </w:tc>
        <w:tc>
          <w:tcPr>
            <w:tcW w:w="242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Non : c’est le modèle de fait actuel, il produit les silos constatés</w:t>
            </w:r>
          </w:p>
        </w:tc>
      </w:tr>
      <w:tr w:rsidR="00EE3B50" w:rsidRPr="008B085D" w:rsidTr="008B085D">
        <w:tc>
          <w:tcPr>
            <w:tcW w:w="145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Centre of Excellence</w:t>
            </w:r>
          </w:p>
        </w:tc>
        <w:tc>
          <w:tcPr>
            <w:tcW w:w="193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Cumule les deux ; standards communs + relais dans chaque BU</w:t>
            </w:r>
          </w:p>
        </w:tc>
        <w:tc>
          <w:tcPr>
            <w:tcW w:w="2101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Réservé aux grandes entreprises ; couche de coordination supplémentaire</w:t>
            </w:r>
          </w:p>
        </w:tc>
        <w:tc>
          <w:tcPr>
            <w:tcW w:w="2424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Oui</w:t>
            </w:r>
            <w:r w:rsidRPr="008B085D">
              <w:rPr>
                <w:sz w:val="16"/>
              </w:rPr>
              <w:t xml:space="preserve"> : Spotify est une grande entr</w:t>
            </w:r>
            <w:r w:rsidRPr="008B085D">
              <w:rPr>
                <w:sz w:val="16"/>
              </w:rPr>
              <w:t>eprise ; la coordination est assurée par le Committee mensuel</w:t>
            </w:r>
          </w:p>
        </w:tc>
      </w:tr>
    </w:tbl>
    <w:p w:rsidR="00EE3B50" w:rsidRDefault="008B085D">
      <w:pPr>
        <w:pStyle w:val="Corpsdetexte"/>
      </w:pPr>
      <w:r>
        <w:t xml:space="preserve">Le CoE (4-6 personnes sous le CDO) porte les standards, le catalogue, la formation et l’audit ; les 5 Data Stewards sont les relais dans les business units. Conformément au cours, </w:t>
      </w:r>
      <w:r>
        <w:rPr>
          <w:b/>
          <w:bCs/>
        </w:rPr>
        <w:t>gouvernance e</w:t>
      </w:r>
      <w:r>
        <w:rPr>
          <w:b/>
          <w:bCs/>
        </w:rPr>
        <w:t>t data management sont séparés</w:t>
      </w:r>
      <w:r>
        <w:t xml:space="preserve"> : le CoE définit et audite, l’engineering (CTO) implémente.</w:t>
      </w:r>
    </w:p>
    <w:p w:rsidR="00EE3B50" w:rsidRDefault="008B085D">
      <w:pPr>
        <w:pStyle w:val="Titre2"/>
      </w:pPr>
      <w:bookmarkStart w:id="2" w:name="stack-technologique"/>
      <w:bookmarkEnd w:id="1"/>
      <w:r>
        <w:t>2. Stack technologique</w:t>
      </w:r>
    </w:p>
    <w:p w:rsidR="00EE3B50" w:rsidRDefault="008B085D">
      <w:pPr>
        <w:pStyle w:val="FirstParagraph"/>
      </w:pPr>
      <w:r>
        <w:t>Un outil par besoin, choisi dans le Tech Tools Overview selon trois critères : intégration avec l’existant GCP/Airflow, coût, couverture fonct</w:t>
      </w:r>
      <w:r>
        <w:t>ionnelle. Spotify dispose déjà d’un catalogue interne (Lexikon) : la phase 1 audite l’existant avant tout achat.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33"/>
        <w:gridCol w:w="2445"/>
        <w:gridCol w:w="4076"/>
        <w:gridCol w:w="1834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Besoin</w:t>
            </w:r>
          </w:p>
        </w:tc>
        <w:tc>
          <w:tcPr>
            <w:tcW w:w="1900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Outil retenu</w:t>
            </w:r>
          </w:p>
        </w:tc>
        <w:tc>
          <w:tcPr>
            <w:tcW w:w="3168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Pourquoi</w:t>
            </w:r>
          </w:p>
        </w:tc>
        <w:tc>
          <w:tcPr>
            <w:tcW w:w="142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Alternative évaluée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Catalogue &amp; stewardship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Collibra</w:t>
            </w:r>
            <w:r w:rsidRPr="008B085D">
              <w:rPr>
                <w:sz w:val="16"/>
              </w:rPr>
              <w:t xml:space="preserve"> (ou extension de Lexikon)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Workflows de stewardship, glossair</w:t>
            </w:r>
            <w:r w:rsidRPr="008B085D">
              <w:rPr>
                <w:sz w:val="16"/>
              </w:rPr>
              <w:t>e, classification, intégration BigQuery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Alation, Apache Atlas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Qualité des données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Great Expectations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Open source, tests dans les pipelines Airflow existants, coût nul en licence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Talend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Conformité &amp; consentement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OneTrust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Consentement multi-pays, registre, DPIA, gestion des demandes des personnes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TrustArc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Sécurité (SIEM)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Splunk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Journalisation centralisée, détection d’incidents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DataGuard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Chiffrement &amp; clés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Vormetric (Thales CipherTrust)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Chiffrement des données sensibles au</w:t>
            </w:r>
            <w:r w:rsidRPr="008B085D">
              <w:rPr>
                <w:sz w:val="16"/>
              </w:rPr>
              <w:t xml:space="preserve"> repos, gestion des clés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—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Lineage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OpenLineage + Marquez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Standard ouvert compatible Airflow, traçabilité de bout en bout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—</w:t>
            </w:r>
          </w:p>
        </w:tc>
      </w:tr>
      <w:tr w:rsidR="00EE3B50" w:rsidRPr="008B085D" w:rsidTr="008B085D"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Observabilité (phase 4)</w:t>
            </w:r>
          </w:p>
        </w:tc>
        <w:tc>
          <w:tcPr>
            <w:tcW w:w="19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Monte Carlo</w:t>
            </w:r>
          </w:p>
        </w:tc>
        <w:tc>
          <w:tcPr>
            <w:tcW w:w="316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Détection d’anomalies et de fraîcheur</w:t>
            </w:r>
          </w:p>
        </w:tc>
        <w:tc>
          <w:tcPr>
            <w:tcW w:w="142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Ataccama ONE</w:t>
            </w:r>
          </w:p>
        </w:tc>
      </w:tr>
    </w:tbl>
    <w:p w:rsidR="00EE3B50" w:rsidRDefault="008B085D">
      <w:pPr>
        <w:pStyle w:val="Titre2"/>
      </w:pPr>
      <w:bookmarkStart w:id="3" w:name="plan-en-4-phases-18-mois"/>
      <w:bookmarkEnd w:id="2"/>
      <w:r>
        <w:t>3. Plan en 4 phases (18 mois)</w:t>
      </w:r>
    </w:p>
    <w:p w:rsidR="00EE3B50" w:rsidRDefault="008B085D">
      <w:pPr>
        <w:pStyle w:val="FirstParagraph"/>
      </w:pPr>
      <w:r>
        <w:t>Calendrier conforme à l’Executive Q&amp;A Guide : pilote de 3 à 6 mois, puis 12 mois de déploiement.</w:t>
      </w:r>
    </w:p>
    <w:p w:rsidR="00EE3B50" w:rsidRDefault="008B085D" w:rsidP="008B085D">
      <w:pPr>
        <w:pStyle w:val="Corpsdetexte"/>
        <w:spacing w:after="40"/>
        <w:jc w:val="center"/>
      </w:pPr>
      <w:r>
        <w:rPr>
          <w:noProof/>
          <w:lang w:val="fr-FR" w:eastAsia="fr-FR"/>
        </w:rPr>
        <w:drawing>
          <wp:inline distT="0" distB="0" distL="0" distR="0">
            <wp:extent cx="5334000" cy="179416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assets/gantt-pla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4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3B50" w:rsidRDefault="008B085D">
      <w:pPr>
        <w:pStyle w:val="Corpsdetexte"/>
      </w:pPr>
      <w:r>
        <w:rPr>
          <w:b/>
          <w:bCs/>
        </w:rPr>
        <w:lastRenderedPageBreak/>
        <w:t>Phase 1 — Fondations (M1-M2).</w:t>
      </w:r>
      <w:r>
        <w:t xml:space="preserve"> Prérequis bloquant : nomination du CDO. Puis : constitution du CoE et désignation des 5 Data Stewards (fiches signées) ; confir</w:t>
      </w:r>
      <w:r>
        <w:t>mation du DPO et création de la Privacy Team ; approbation de la politique v1.0 par le Committee ; audit de l’existant (Lexikon, pipelines, consentement) ; déploiement OneTrust et instance pilote du catalogue ; cartographie des flux User Data ; communicati</w:t>
      </w:r>
      <w:r>
        <w:t xml:space="preserve">on de lancement (message CEO, webinar CDO, FAQ par rôle) et e-learning obligatoire. </w:t>
      </w:r>
      <w:r>
        <w:rPr>
          <w:i/>
          <w:iCs/>
        </w:rPr>
        <w:t>Critère de sortie</w:t>
      </w:r>
      <w:r>
        <w:t xml:space="preserve"> : équipe en place, politique approuvée, baseline de mesure prête.</w:t>
      </w:r>
    </w:p>
    <w:p w:rsidR="00EE3B50" w:rsidRDefault="008B085D">
      <w:pPr>
        <w:pStyle w:val="Corpsdetexte"/>
      </w:pPr>
      <w:r>
        <w:rPr>
          <w:b/>
          <w:bCs/>
        </w:rPr>
        <w:t>Phase 2 — Pilote User Data (M3-M6).</w:t>
      </w:r>
      <w:r>
        <w:t xml:space="preserve"> Voir section 4. </w:t>
      </w:r>
      <w:r>
        <w:rPr>
          <w:i/>
          <w:iCs/>
        </w:rPr>
        <w:t>Critère de sortie</w:t>
      </w:r>
      <w:r>
        <w:t xml:space="preserve"> : Go/No-Go du Comm</w:t>
      </w:r>
      <w:r>
        <w:t>ittee sur les KPIs.</w:t>
      </w:r>
    </w:p>
    <w:p w:rsidR="00EE3B50" w:rsidRDefault="008B085D">
      <w:pPr>
        <w:pStyle w:val="Corpsdetexte"/>
      </w:pPr>
      <w:r>
        <w:rPr>
          <w:b/>
          <w:bCs/>
        </w:rPr>
        <w:t>Phase 3 — Généralisation (M7-M12).</w:t>
      </w:r>
      <w:r>
        <w:t xml:space="preserve"> Déploiement domaine par domaine, dans l’ordre de priorité du business case : </w:t>
      </w:r>
      <w:r>
        <w:rPr>
          <w:b/>
          <w:bCs/>
        </w:rPr>
        <w:t>Content</w:t>
      </w:r>
      <w:r>
        <w:t xml:space="preserve"> (métadonnées, royalties), </w:t>
      </w:r>
      <w:r>
        <w:rPr>
          <w:b/>
          <w:bCs/>
        </w:rPr>
        <w:t>Marketing</w:t>
      </w:r>
      <w:r>
        <w:t xml:space="preserve"> (consentement, métriques de conversion), </w:t>
      </w:r>
      <w:r>
        <w:rPr>
          <w:b/>
          <w:bCs/>
        </w:rPr>
        <w:t>Payments</w:t>
      </w:r>
      <w:r>
        <w:t xml:space="preserve"> (PCI-DSS, chiffrement), </w:t>
      </w:r>
      <w:r>
        <w:rPr>
          <w:b/>
          <w:bCs/>
        </w:rPr>
        <w:t>Ads</w:t>
      </w:r>
      <w:r>
        <w:t xml:space="preserve"> (o</w:t>
      </w:r>
      <w:r>
        <w:t xml:space="preserve">pt-out CCPA/CPRA). Pour chaque domaine : cartographie → classification et durées de conservation → règles qualité dans les pipelines → DPIA si nécessaire → baseline puis cibles. Extension du pilote User Data des marchés UE au monde. </w:t>
      </w:r>
      <w:r>
        <w:rPr>
          <w:i/>
          <w:iCs/>
        </w:rPr>
        <w:t>Critère de sortie</w:t>
      </w:r>
      <w:r>
        <w:t xml:space="preserve"> : 5 d</w:t>
      </w:r>
      <w:r>
        <w:t>omaines catalogués et mesurés.</w:t>
      </w:r>
    </w:p>
    <w:p w:rsidR="00EE3B50" w:rsidRDefault="008B085D">
      <w:pPr>
        <w:pStyle w:val="Corpsdetexte"/>
      </w:pPr>
      <w:r>
        <w:rPr>
          <w:b/>
          <w:bCs/>
        </w:rPr>
        <w:t>Phase 4 — Industrialisation (M13-M18).</w:t>
      </w:r>
      <w:r>
        <w:t xml:space="preserve"> Observabilité (Monte Carlo), lineage de bout en bout, audit de conformité complet (GDPR/CCPA/PCI-DSS) et audit complet des biais de recommandation, formation avancée par rôle, tableau de</w:t>
      </w:r>
      <w:r>
        <w:t xml:space="preserve"> bord exécutif, revue annuelle de la politique (v2.0). </w:t>
      </w:r>
      <w:r>
        <w:rPr>
          <w:i/>
          <w:iCs/>
        </w:rPr>
        <w:t>Critère de sortie</w:t>
      </w:r>
      <w:r>
        <w:t xml:space="preserve"> : mode opérationnel continu, score de maturité ≥ 4,2.</w:t>
      </w:r>
    </w:p>
    <w:p w:rsidR="00EE3B50" w:rsidRDefault="008B085D">
      <w:pPr>
        <w:pStyle w:val="Titre2"/>
      </w:pPr>
      <w:bookmarkStart w:id="4" w:name="Xe584bf7459d61dac08f8d093b31918b06f21989"/>
      <w:bookmarkEnd w:id="3"/>
      <w:r>
        <w:t>4. Pilote User Data (Pilot Implementation Template)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8"/>
        <w:gridCol w:w="8490"/>
      </w:tblGrid>
      <w:tr w:rsidR="00EE3B50" w:rsidRPr="008B085D" w:rsidTr="008B085D">
        <w:tc>
          <w:tcPr>
            <w:tcW w:w="1320" w:type="dxa"/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bCs/>
                <w:sz w:val="16"/>
              </w:rPr>
              <w:t>Projet</w:t>
            </w:r>
          </w:p>
        </w:tc>
        <w:tc>
          <w:tcPr>
            <w:tcW w:w="6600" w:type="dxa"/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Pilote du framework de Data Governance — domaine User Data</w:t>
            </w:r>
          </w:p>
        </w:tc>
      </w:tr>
      <w:tr w:rsidR="00EE3B50" w:rsidRPr="008B085D" w:rsidTr="008B085D"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Période</w:t>
            </w:r>
          </w:p>
        </w:tc>
        <w:tc>
          <w:tcPr>
            <w:tcW w:w="66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M3 → M6 (4 mois)</w:t>
            </w:r>
          </w:p>
        </w:tc>
      </w:tr>
      <w:tr w:rsidR="00EE3B50" w:rsidRPr="008B085D" w:rsidTr="008B085D"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Préparé par</w:t>
            </w:r>
          </w:p>
        </w:tc>
        <w:tc>
          <w:tcPr>
            <w:tcW w:w="66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Emeline ROBLOT, Data Governance Specialist</w:t>
            </w:r>
          </w:p>
        </w:tc>
      </w:tr>
      <w:tr w:rsidR="00EE3B50" w:rsidRPr="008B085D" w:rsidTr="008B085D"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Project Manager</w:t>
            </w:r>
          </w:p>
        </w:tc>
        <w:tc>
          <w:tcPr>
            <w:tcW w:w="66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Lead du Data Governance CoE</w:t>
            </w:r>
          </w:p>
        </w:tc>
      </w:tr>
      <w:tr w:rsidR="00EE3B50" w:rsidRPr="008B085D" w:rsidTr="008B085D"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Sponsor</w:t>
            </w:r>
          </w:p>
        </w:tc>
        <w:tc>
          <w:tcPr>
            <w:tcW w:w="660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CDO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Objectif et périmètre.</w:t>
      </w:r>
      <w:r>
        <w:t xml:space="preserve"> Tester le framework complet (politique, rôles, outils, KPIs) sur le domaine le plus sensible et le pl</w:t>
      </w:r>
      <w:r>
        <w:t xml:space="preserve">us créateur de valeur : les données utilisateurs. Périmètre borné pour être réaliste en 4 mois : </w:t>
      </w:r>
      <w:r>
        <w:rPr>
          <w:b/>
          <w:bCs/>
        </w:rPr>
        <w:t>profils et historiques d’écoute des marchés UE</w:t>
      </w:r>
      <w:r>
        <w:t xml:space="preserve"> (juridiction la plus exigeante, sanction IMY 2023), extension mondiale en phase 3. Pourquoi User Data : expositi</w:t>
      </w:r>
      <w:r>
        <w:t>on GDPR maximale, données pouvant révéler des informations sensibles inférées, impact direct sur Discover Weekly et la rétention premium.</w:t>
      </w:r>
    </w:p>
    <w:p w:rsidR="00EE3B50" w:rsidRDefault="008B085D">
      <w:pPr>
        <w:pStyle w:val="Corpsdetexte"/>
      </w:pPr>
      <w:r>
        <w:rPr>
          <w:b/>
          <w:bCs/>
        </w:rPr>
        <w:t>Key goals (template).</w:t>
      </w:r>
      <w:r>
        <w:t xml:space="preserve"> (1) Qualité : complétude et cohérence des données utilisateurs ; (2) Conformité GDPR/CCPA : droi</w:t>
      </w:r>
      <w:r>
        <w:t>ts des personnes et consentement ; (3) Accès et intégration : réduire les silos entre Product, Marketing et Engineering ; (4) Risque : classification, chiffrement, protocole d’incident testé.</w:t>
      </w:r>
    </w:p>
    <w:p w:rsidR="00EE3B50" w:rsidRDefault="008B085D">
      <w:pPr>
        <w:pStyle w:val="Corpsdetexte"/>
      </w:pPr>
      <w:r>
        <w:rPr>
          <w:b/>
          <w:bCs/>
        </w:rPr>
        <w:t>Équipe.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3608"/>
        <w:gridCol w:w="6580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Rôle</w:t>
            </w:r>
          </w:p>
        </w:tc>
        <w:tc>
          <w:tcPr>
            <w:tcW w:w="511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Responsabilités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Pilot Project Manager (Lead CoE)</w:t>
            </w:r>
          </w:p>
        </w:tc>
        <w:tc>
          <w:tcPr>
            <w:tcW w:w="511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Pilotage, coordination, reporting au Committee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Steward User</w:t>
            </w:r>
          </w:p>
        </w:tc>
        <w:tc>
          <w:tcPr>
            <w:tcW w:w="511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Qualité, classification, règles Great Expectations, catalogue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DPO + Privacy Team</w:t>
            </w:r>
          </w:p>
        </w:tc>
        <w:tc>
          <w:tcPr>
            <w:tcW w:w="511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Audit de conformité, DPIA, test du pipeline de droits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Engineers (Head of Engineering)</w:t>
            </w:r>
          </w:p>
        </w:tc>
        <w:tc>
          <w:tcPr>
            <w:tcW w:w="511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Intégration outils, pipeline d’effacement, pseudonymisation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Department Head (VP Product / User Experience)</w:t>
            </w:r>
          </w:p>
        </w:tc>
        <w:tc>
          <w:tcPr>
            <w:tcW w:w="511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Alignement métier, arbitrage des priorités, adoption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Jalons.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5518"/>
        <w:gridCol w:w="1698"/>
        <w:gridCol w:w="2972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90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Jalon</w:t>
            </w:r>
          </w:p>
        </w:tc>
        <w:tc>
          <w:tcPr>
            <w:tcW w:w="1320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Date</w:t>
            </w:r>
          </w:p>
        </w:tc>
        <w:tc>
          <w:tcPr>
            <w:tcW w:w="2310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Responsable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Kick-off et mesure des baselines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M3 s1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Project Manager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assessment et cleansing (périmètre UE)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M3 s2 → M4 s2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Steward User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Audit de conformité GDPR/CCPA et DPIA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M4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DPO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Setup technique : catalogue, Great Expectations, pipeline d’effacement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M4 → M5 s2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Engineers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Revue à mi-parcours et ajustements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M5 s2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Project Manager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Premier audit des biais de recommandation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M5 s3-4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Head of Engineering + DPO</w:t>
            </w:r>
          </w:p>
        </w:tc>
      </w:tr>
      <w:tr w:rsidR="00EE3B50" w:rsidRPr="008B085D" w:rsidTr="008B085D">
        <w:tc>
          <w:tcPr>
            <w:tcW w:w="429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Revue finale, lessons learned, Go/No-Go</w:t>
            </w:r>
          </w:p>
        </w:tc>
        <w:tc>
          <w:tcPr>
            <w:tcW w:w="132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M6 s4</w:t>
            </w:r>
          </w:p>
        </w:tc>
        <w:tc>
          <w:tcPr>
            <w:tcW w:w="231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Project Manager → Committee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Livrables</w:t>
      </w:r>
      <w:r>
        <w:t xml:space="preserve"> </w:t>
      </w:r>
      <w:r>
        <w:t>: Data Quality Report · Compliance Assessment · Technical Integration Plan · Risk Assessment Report · Stakeholder Feedback.</w:t>
      </w:r>
    </w:p>
    <w:p w:rsidR="00EE3B50" w:rsidRDefault="008B085D">
      <w:pPr>
        <w:pStyle w:val="Corpsdetexte"/>
      </w:pPr>
      <w:r>
        <w:rPr>
          <w:b/>
          <w:bCs/>
        </w:rPr>
        <w:t>KPIs.</w:t>
      </w:r>
      <w:r>
        <w:t xml:space="preserve"> Toutes les baselines sont mesurées en M3 semaine 1.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37"/>
        <w:gridCol w:w="3845"/>
        <w:gridCol w:w="961"/>
        <w:gridCol w:w="2499"/>
        <w:gridCol w:w="1346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9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lastRenderedPageBreak/>
              <w:t>KPI</w:t>
            </w:r>
          </w:p>
        </w:tc>
        <w:tc>
          <w:tcPr>
            <w:tcW w:w="2988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Définition</w:t>
            </w:r>
          </w:p>
        </w:tc>
        <w:tc>
          <w:tcPr>
            <w:tcW w:w="747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Baseline</w:t>
            </w:r>
          </w:p>
        </w:tc>
        <w:tc>
          <w:tcPr>
            <w:tcW w:w="1942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Cible M6</w:t>
            </w:r>
          </w:p>
        </w:tc>
        <w:tc>
          <w:tcPr>
            <w:tcW w:w="1046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Source</w:t>
            </w:r>
          </w:p>
        </w:tc>
      </w:tr>
      <w:tr w:rsidR="00EE3B50" w:rsidRPr="008B085D" w:rsidTr="008B085D">
        <w:tc>
          <w:tcPr>
            <w:tcW w:w="119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Quality Score</w:t>
            </w:r>
          </w:p>
        </w:tc>
        <w:tc>
          <w:tcPr>
            <w:tcW w:w="298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% de champs ob</w:t>
            </w:r>
            <w:r w:rsidRPr="008B085D">
              <w:rPr>
                <w:sz w:val="16"/>
              </w:rPr>
              <w:t>ligatoires manquants sur les datasets critiques User</w:t>
            </w:r>
          </w:p>
        </w:tc>
        <w:tc>
          <w:tcPr>
            <w:tcW w:w="74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à mesurer</w:t>
            </w:r>
          </w:p>
        </w:tc>
        <w:tc>
          <w:tcPr>
            <w:tcW w:w="19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-10 %</w:t>
            </w:r>
            <w:r w:rsidRPr="008B085D">
              <w:rPr>
                <w:sz w:val="16"/>
              </w:rPr>
              <w:t xml:space="preserve"> de données manquantes (complétude &gt; 98 %)</w:t>
            </w:r>
          </w:p>
        </w:tc>
        <w:tc>
          <w:tcPr>
            <w:tcW w:w="1046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Great Expectations</w:t>
            </w:r>
          </w:p>
        </w:tc>
      </w:tr>
      <w:tr w:rsidR="00EE3B50" w:rsidRPr="008B085D" w:rsidTr="008B085D">
        <w:tc>
          <w:tcPr>
            <w:tcW w:w="119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Compliance Score</w:t>
            </w:r>
          </w:p>
        </w:tc>
        <w:tc>
          <w:tcPr>
            <w:tcW w:w="298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% de traitements User avec base légale documentée et consentement valide quand requis</w:t>
            </w:r>
          </w:p>
        </w:tc>
        <w:tc>
          <w:tcPr>
            <w:tcW w:w="74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à mesurer</w:t>
            </w:r>
          </w:p>
        </w:tc>
        <w:tc>
          <w:tcPr>
            <w:tcW w:w="19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100 %</w:t>
            </w:r>
          </w:p>
        </w:tc>
        <w:tc>
          <w:tcPr>
            <w:tcW w:w="1046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OneTrust</w:t>
            </w:r>
          </w:p>
        </w:tc>
      </w:tr>
      <w:tr w:rsidR="00EE3B50" w:rsidRPr="008B085D" w:rsidTr="008B085D">
        <w:tc>
          <w:tcPr>
            <w:tcW w:w="119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Access Speed</w:t>
            </w:r>
          </w:p>
        </w:tc>
        <w:tc>
          <w:tcPr>
            <w:tcW w:w="298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Délai médian entre demande d’accès à un dataset et accès effectif</w:t>
            </w:r>
          </w:p>
        </w:tc>
        <w:tc>
          <w:tcPr>
            <w:tcW w:w="74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à mesurer</w:t>
            </w:r>
          </w:p>
        </w:tc>
        <w:tc>
          <w:tcPr>
            <w:tcW w:w="19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-20 %</w:t>
            </w:r>
          </w:p>
        </w:tc>
        <w:tc>
          <w:tcPr>
            <w:tcW w:w="1046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Catalogue</w:t>
            </w:r>
          </w:p>
        </w:tc>
      </w:tr>
      <w:tr w:rsidR="00EE3B50" w:rsidRPr="008B085D" w:rsidTr="008B085D">
        <w:tc>
          <w:tcPr>
            <w:tcW w:w="119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Risk Mitigation Score</w:t>
            </w:r>
          </w:p>
        </w:tc>
        <w:tc>
          <w:tcPr>
            <w:tcW w:w="298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Datasets User classifiés et chiffrés selon leur classe ; incidents</w:t>
            </w:r>
          </w:p>
        </w:tc>
        <w:tc>
          <w:tcPr>
            <w:tcW w:w="74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à mesurer</w:t>
            </w:r>
          </w:p>
        </w:tc>
        <w:tc>
          <w:tcPr>
            <w:tcW w:w="19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 xml:space="preserve">100 % classifiés, </w:t>
            </w:r>
            <w:r w:rsidRPr="008B085D">
              <w:rPr>
                <w:b/>
                <w:bCs/>
                <w:sz w:val="16"/>
              </w:rPr>
              <w:t>0 incident</w:t>
            </w:r>
          </w:p>
        </w:tc>
        <w:tc>
          <w:tcPr>
            <w:tcW w:w="1046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Catalog</w:t>
            </w:r>
            <w:r w:rsidRPr="008B085D">
              <w:rPr>
                <w:sz w:val="16"/>
              </w:rPr>
              <w:t>ue, Splunk</w:t>
            </w:r>
          </w:p>
        </w:tc>
      </w:tr>
      <w:tr w:rsidR="00EE3B50" w:rsidRPr="008B085D" w:rsidTr="008B085D">
        <w:tc>
          <w:tcPr>
            <w:tcW w:w="119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Droits des personnes</w:t>
            </w:r>
          </w:p>
        </w:tc>
        <w:tc>
          <w:tcPr>
            <w:tcW w:w="2988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Délai de traitement d’une demande d’effacement / d’accès</w:t>
            </w:r>
          </w:p>
        </w:tc>
        <w:tc>
          <w:tcPr>
            <w:tcW w:w="74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à mesurer</w:t>
            </w:r>
          </w:p>
        </w:tc>
        <w:tc>
          <w:tcPr>
            <w:tcW w:w="19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&lt; 30 jours</w:t>
            </w:r>
            <w:r w:rsidRPr="008B085D">
              <w:rPr>
                <w:sz w:val="16"/>
              </w:rPr>
              <w:t>, 100 % dans le délai légal</w:t>
            </w:r>
          </w:p>
        </w:tc>
        <w:tc>
          <w:tcPr>
            <w:tcW w:w="1046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Privacy Team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Risques du pilote.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3608"/>
        <w:gridCol w:w="955"/>
        <w:gridCol w:w="955"/>
        <w:gridCol w:w="4670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5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Risque</w:t>
            </w:r>
          </w:p>
        </w:tc>
        <w:tc>
          <w:tcPr>
            <w:tcW w:w="742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Prob.</w:t>
            </w:r>
          </w:p>
        </w:tc>
        <w:tc>
          <w:tcPr>
            <w:tcW w:w="742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Impact</w:t>
            </w:r>
          </w:p>
        </w:tc>
        <w:tc>
          <w:tcPr>
            <w:tcW w:w="3630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Mitigation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Non-conformité résiduelle GDPR/CCPA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Moyenne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Élevé</w:t>
            </w:r>
          </w:p>
        </w:tc>
        <w:tc>
          <w:tcPr>
            <w:tcW w:w="363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Audit DPO en M4, formation, DPIA avant toute mise en production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Résistance au changement des squads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Élevée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Moyen</w:t>
            </w:r>
          </w:p>
        </w:tc>
        <w:tc>
          <w:tcPr>
            <w:tcW w:w="363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Ateliers dès M1, stewards issus des équipes, quick wins publiés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Qualité non améliorée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Faible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Élevé</w:t>
            </w:r>
          </w:p>
        </w:tc>
        <w:tc>
          <w:tcPr>
            <w:tcW w:w="363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Monitoring continu, revue à mi-parcours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Intégration technique (catalogue ↔ BigQuery, pipeline d’effacement)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Moyenne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Élevé</w:t>
            </w:r>
          </w:p>
        </w:tc>
        <w:tc>
          <w:tcPr>
            <w:tcW w:w="363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Engineering impliqué dès M1, POC en phase 1</w:t>
            </w:r>
          </w:p>
        </w:tc>
      </w:tr>
      <w:tr w:rsidR="00EE3B50" w:rsidRPr="008B085D" w:rsidTr="008B085D">
        <w:tc>
          <w:tcPr>
            <w:tcW w:w="2805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Périmètre qui dérive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Moyenne</w:t>
            </w:r>
          </w:p>
        </w:tc>
        <w:tc>
          <w:tcPr>
            <w:tcW w:w="74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Moyen</w:t>
            </w:r>
          </w:p>
        </w:tc>
        <w:tc>
          <w:tcPr>
            <w:tcW w:w="3630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Périmètre UE borné, changements validés par le Committee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Formation et conduite du changement.</w:t>
      </w:r>
      <w:r>
        <w:t xml:space="preserve"> Ateliers pratiques pour les équipes User Data (catalogue, règles qualité, droits des personnes) ; documentation et helpdesk du CoE ; canal de feedback hebdomadaire → ajustements ; résultats du pilote publiés en interne comme quick wins.</w:t>
      </w:r>
    </w:p>
    <w:p w:rsidR="00EE3B50" w:rsidRDefault="008B085D">
      <w:pPr>
        <w:pStyle w:val="Corpsdetexte"/>
      </w:pPr>
      <w:r>
        <w:rPr>
          <w:b/>
          <w:bCs/>
        </w:rPr>
        <w:t>Évaluation et less</w:t>
      </w:r>
      <w:r>
        <w:rPr>
          <w:b/>
          <w:bCs/>
        </w:rPr>
        <w:t>ons learned.</w:t>
      </w:r>
      <w:r>
        <w:t xml:space="preserve"> Go/No-Go en M6 sur les KPIs ; rapport de retour d’expérience (ce qui a marché, blocages, temps réel vs estimé) ; feedback structuré des stakeholders ; ajustement de la politique et du plan de généralisation avant la phase 3.</w:t>
      </w:r>
    </w:p>
    <w:p w:rsidR="00EE3B50" w:rsidRDefault="008B085D">
      <w:pPr>
        <w:pStyle w:val="Titre2"/>
      </w:pPr>
      <w:bookmarkStart w:id="5" w:name="X3e4da6b0e937452b04c81b4e871c043d29d64bc"/>
      <w:bookmarkEnd w:id="4"/>
      <w:r>
        <w:t>5. Ressources et b</w:t>
      </w:r>
      <w:r>
        <w:t>udget (ordres de grandeur, hypothèses à affiner en phase 1)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5420"/>
        <w:gridCol w:w="3251"/>
        <w:gridCol w:w="1517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12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Poste</w:t>
            </w:r>
          </w:p>
        </w:tc>
        <w:tc>
          <w:tcPr>
            <w:tcW w:w="2527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Hypothèse</w:t>
            </w:r>
          </w:p>
        </w:tc>
        <w:tc>
          <w:tcPr>
            <w:tcW w:w="1179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18 mois</w:t>
            </w:r>
          </w:p>
        </w:tc>
      </w:tr>
      <w:tr w:rsidR="00EE3B50" w:rsidRPr="008B085D" w:rsidTr="008B085D">
        <w:tc>
          <w:tcPr>
            <w:tcW w:w="421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Personnel CoE (5 ETP) + Privacy Team (3 ETP) + 5 stewards à 50 % (2,5 ETP)</w:t>
            </w:r>
          </w:p>
        </w:tc>
        <w:tc>
          <w:tcPr>
            <w:tcW w:w="252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≈ 10,5 ETP × 120 k€ chargés / an</w:t>
            </w:r>
          </w:p>
        </w:tc>
        <w:tc>
          <w:tcPr>
            <w:tcW w:w="117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≈ 1,9 M€</w:t>
            </w:r>
          </w:p>
        </w:tc>
      </w:tr>
      <w:tr w:rsidR="00EE3B50" w:rsidRPr="008B085D" w:rsidTr="008B085D">
        <w:tc>
          <w:tcPr>
            <w:tcW w:w="421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Licences (catalogue, consentement, SIEM, chiffrement, observabilité)</w:t>
            </w:r>
          </w:p>
        </w:tc>
        <w:tc>
          <w:tcPr>
            <w:tcW w:w="252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1,5 à 2,5 M€ / an</w:t>
            </w:r>
          </w:p>
        </w:tc>
        <w:tc>
          <w:tcPr>
            <w:tcW w:w="117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≈ 3 M€</w:t>
            </w:r>
          </w:p>
        </w:tc>
      </w:tr>
      <w:tr w:rsidR="00EE3B50" w:rsidRPr="008B085D" w:rsidTr="008B085D">
        <w:tc>
          <w:tcPr>
            <w:tcW w:w="421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Intégration et conseil (setup, pipelines d’effacement, migration)</w:t>
            </w:r>
          </w:p>
        </w:tc>
        <w:tc>
          <w:tcPr>
            <w:tcW w:w="252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Forfait</w:t>
            </w:r>
          </w:p>
        </w:tc>
        <w:tc>
          <w:tcPr>
            <w:tcW w:w="117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0,5 à 1 M€</w:t>
            </w:r>
          </w:p>
        </w:tc>
      </w:tr>
      <w:tr w:rsidR="00EE3B50" w:rsidRPr="008B085D" w:rsidTr="008B085D">
        <w:tc>
          <w:tcPr>
            <w:tcW w:w="421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Formation et communication</w:t>
            </w:r>
          </w:p>
        </w:tc>
        <w:tc>
          <w:tcPr>
            <w:tcW w:w="252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E-learning, ateliers, supports</w:t>
            </w:r>
          </w:p>
        </w:tc>
        <w:tc>
          <w:tcPr>
            <w:tcW w:w="117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≈ 0,3 M€</w:t>
            </w:r>
          </w:p>
        </w:tc>
      </w:tr>
      <w:tr w:rsidR="00EE3B50" w:rsidRPr="008B085D" w:rsidTr="008B085D">
        <w:tc>
          <w:tcPr>
            <w:tcW w:w="421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Total p</w:t>
            </w:r>
            <w:r w:rsidRPr="008B085D">
              <w:rPr>
                <w:b/>
                <w:bCs/>
                <w:sz w:val="16"/>
              </w:rPr>
              <w:t>rogramme</w:t>
            </w:r>
          </w:p>
        </w:tc>
        <w:tc>
          <w:tcPr>
            <w:tcW w:w="2527" w:type="dxa"/>
            <w:shd w:val="clear" w:color="auto" w:fill="auto"/>
          </w:tcPr>
          <w:p w:rsidR="00EE3B50" w:rsidRPr="008B085D" w:rsidRDefault="00EE3B50" w:rsidP="008B085D">
            <w:pPr>
              <w:pStyle w:val="Compact"/>
              <w:spacing w:before="20" w:after="20"/>
              <w:rPr>
                <w:sz w:val="16"/>
              </w:rPr>
            </w:pPr>
          </w:p>
        </w:tc>
        <w:tc>
          <w:tcPr>
            <w:tcW w:w="117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b/>
                <w:bCs/>
                <w:sz w:val="16"/>
              </w:rPr>
              <w:t>≈ 6 à 7 M€ sur 18 mois</w:t>
            </w:r>
          </w:p>
        </w:tc>
      </w:tr>
    </w:tbl>
    <w:p w:rsidR="00EE3B50" w:rsidRDefault="008B085D">
      <w:pPr>
        <w:pStyle w:val="Corpsdetexte"/>
      </w:pPr>
      <w:r>
        <w:t xml:space="preserve">À comparer à l’exposition maximale GDPR (4 % de 13,25 Md€ ≈ </w:t>
      </w:r>
      <w:r>
        <w:rPr>
          <w:b/>
          <w:bCs/>
        </w:rPr>
        <w:t>530 M€</w:t>
      </w:r>
      <w:r>
        <w:t>), à la sanction déjà subie en 2023 (≈ 5 M€) et au gain d’efficacité : à titre d’hypothèse, 500 analystes et data scientists gagnant 2 h par semaine de recherche de données représentent ≈ 50 000 h/an, soit ≈ 25 ETP (≈ 3 M€/an).</w:t>
      </w:r>
    </w:p>
    <w:p w:rsidR="00EE3B50" w:rsidRDefault="008B085D">
      <w:pPr>
        <w:pStyle w:val="Titre2"/>
      </w:pPr>
      <w:bookmarkStart w:id="6" w:name="kpis-de-suivi-du-programme"/>
      <w:bookmarkEnd w:id="5"/>
      <w:r>
        <w:t>6. KPIs de suivi du programm</w:t>
      </w:r>
      <w:r>
        <w:t>e</w:t>
      </w:r>
    </w:p>
    <w:tbl>
      <w:tblPr>
        <w:tblStyle w:val="Table"/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20" w:firstRow="1" w:lastRow="0" w:firstColumn="0" w:lastColumn="0" w:noHBand="0" w:noVBand="0"/>
      </w:tblPr>
      <w:tblGrid>
        <w:gridCol w:w="5194"/>
        <w:gridCol w:w="2997"/>
        <w:gridCol w:w="1997"/>
      </w:tblGrid>
      <w:tr w:rsidR="00EE3B50" w:rsidRPr="008B085D" w:rsidTr="008B0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7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KPI</w:t>
            </w:r>
          </w:p>
        </w:tc>
        <w:tc>
          <w:tcPr>
            <w:tcW w:w="2329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Cible</w:t>
            </w:r>
          </w:p>
        </w:tc>
        <w:tc>
          <w:tcPr>
            <w:tcW w:w="1552" w:type="dxa"/>
            <w:tcBorders>
              <w:bottom w:val="none" w:sz="0" w:space="0" w:color="auto"/>
            </w:tcBorders>
            <w:shd w:val="clear" w:color="auto" w:fill="EFEFEF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b/>
                <w:sz w:val="16"/>
              </w:rPr>
            </w:pPr>
            <w:r w:rsidRPr="008B085D">
              <w:rPr>
                <w:b/>
                <w:sz w:val="16"/>
              </w:rPr>
              <w:t>Owner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Complétude des datasets critiques (tous domaines)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&gt; 98 % (mensuel)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Data Stewards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Demandes des personnes traitées dans le délai légal ; notification de violation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100 %, effacement &lt; 30 j ; &lt; 72 h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DPO / Privacy Team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Traitements avec base légale documentée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100 % (trimestriel)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DPO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Couverture du catalogue (classifié, owner, durée de conservation)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100 % des 5 domaines à M12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CoE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Délai d’accès aux données ; employés formés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-20 % vs baseline ; &gt; 90 %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CoE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Incidents de donn</w:t>
            </w:r>
            <w:r w:rsidRPr="008B085D">
              <w:rPr>
                <w:sz w:val="16"/>
              </w:rPr>
              <w:t>ées critiques ; audit des biais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0 ; trimestriel, 0 biais critique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Head of Engineering + DPO</w:t>
            </w:r>
          </w:p>
        </w:tc>
      </w:tr>
      <w:tr w:rsidR="00EE3B50" w:rsidRPr="008B085D" w:rsidTr="008B085D">
        <w:tc>
          <w:tcPr>
            <w:tcW w:w="4037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Score de maturité</w:t>
            </w:r>
          </w:p>
        </w:tc>
        <w:tc>
          <w:tcPr>
            <w:tcW w:w="2329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3,4 → 4,2 à M12 (semestriel)</w:t>
            </w:r>
          </w:p>
        </w:tc>
        <w:tc>
          <w:tcPr>
            <w:tcW w:w="1552" w:type="dxa"/>
            <w:shd w:val="clear" w:color="auto" w:fill="auto"/>
          </w:tcPr>
          <w:p w:rsidR="00EE3B50" w:rsidRPr="008B085D" w:rsidRDefault="008B085D" w:rsidP="008B085D">
            <w:pPr>
              <w:pStyle w:val="Compact"/>
              <w:spacing w:before="20" w:after="20"/>
              <w:rPr>
                <w:sz w:val="16"/>
              </w:rPr>
            </w:pPr>
            <w:r w:rsidRPr="008B085D">
              <w:rPr>
                <w:sz w:val="16"/>
              </w:rPr>
              <w:t>CDO</w:t>
            </w:r>
          </w:p>
        </w:tc>
      </w:tr>
    </w:tbl>
    <w:p w:rsidR="00EE3B50" w:rsidRDefault="008B085D">
      <w:pPr>
        <w:pStyle w:val="Corpsdetexte"/>
      </w:pPr>
      <w:r>
        <w:rPr>
          <w:b/>
          <w:bCs/>
        </w:rPr>
        <w:t>Gouvernance du programme</w:t>
      </w:r>
      <w:r>
        <w:t xml:space="preserve"> : le Data Governance Committee est le comité de pilotage (Go/No-Go de chaque phase) ; </w:t>
      </w:r>
      <w:r>
        <w:t>le CDO rend compte trimestriellement au comité exécutif. Dépendances : nomination du CDO (M1) → tout le reste ; approbation du budget phases 1-2 avant M1 ; disponibilité des Data Engineers dès M1.</w:t>
      </w:r>
    </w:p>
    <w:bookmarkEnd w:id="6"/>
    <w:sectPr w:rsidR="00EE3B50" w:rsidSect="008B08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021" w:right="1134" w:bottom="1021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085D" w:rsidRDefault="008B085D" w:rsidP="008B085D">
      <w:pPr>
        <w:spacing w:after="0"/>
      </w:pPr>
      <w:r>
        <w:separator/>
      </w:r>
    </w:p>
  </w:endnote>
  <w:endnote w:type="continuationSeparator" w:id="0">
    <w:p w:rsidR="008B085D" w:rsidRDefault="008B085D" w:rsidP="008B08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Default="008B085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Pr="008B085D" w:rsidRDefault="008B085D" w:rsidP="008B085D">
    <w:pPr>
      <w:pStyle w:val="Pieddepage"/>
      <w:jc w:val="right"/>
      <w:rPr>
        <w:color w:val="8A8A8A"/>
        <w:sz w:val="16"/>
      </w:rPr>
    </w:pPr>
    <w:r w:rsidRPr="008B085D">
      <w:rPr>
        <w:color w:val="8A8A8A"/>
        <w:sz w:val="16"/>
      </w:rPr>
      <w:t xml:space="preserve">Spotify — Data Governance · Emeline ROBLOT · Septembre 2026 · Page </w:t>
    </w:r>
    <w:r>
      <w:rPr>
        <w:color w:val="8A8A8A"/>
        <w:sz w:val="16"/>
      </w:rPr>
      <w:fldChar w:fldCharType="begin"/>
    </w:r>
    <w:r>
      <w:rPr>
        <w:color w:val="8A8A8A"/>
        <w:sz w:val="16"/>
      </w:rPr>
      <w:instrText xml:space="preserve"> PAGE  \* MERGEFORMAT </w:instrText>
    </w:r>
    <w:r>
      <w:rPr>
        <w:color w:val="8A8A8A"/>
        <w:sz w:val="16"/>
      </w:rPr>
      <w:fldChar w:fldCharType="separate"/>
    </w:r>
    <w:r>
      <w:rPr>
        <w:noProof/>
        <w:color w:val="8A8A8A"/>
        <w:sz w:val="16"/>
      </w:rPr>
      <w:t>2</w:t>
    </w:r>
    <w:r>
      <w:rPr>
        <w:color w:val="8A8A8A"/>
        <w:sz w:val="16"/>
      </w:rPr>
      <w:fldChar w:fldCharType="end"/>
    </w:r>
    <w:r>
      <w:rPr>
        <w:color w:val="8A8A8A"/>
        <w:sz w:val="16"/>
      </w:rPr>
      <w:t xml:space="preserve"> / </w:t>
    </w:r>
    <w:r>
      <w:rPr>
        <w:color w:val="8A8A8A"/>
        <w:sz w:val="16"/>
      </w:rPr>
      <w:fldChar w:fldCharType="begin"/>
    </w:r>
    <w:r>
      <w:rPr>
        <w:color w:val="8A8A8A"/>
        <w:sz w:val="16"/>
      </w:rPr>
      <w:instrText xml:space="preserve"> NUMPAGES  \* MERGEFORMAT </w:instrText>
    </w:r>
    <w:r>
      <w:rPr>
        <w:color w:val="8A8A8A"/>
        <w:sz w:val="16"/>
      </w:rPr>
      <w:fldChar w:fldCharType="separate"/>
    </w:r>
    <w:r>
      <w:rPr>
        <w:noProof/>
        <w:color w:val="8A8A8A"/>
        <w:sz w:val="16"/>
      </w:rPr>
      <w:t>3</w:t>
    </w:r>
    <w:r>
      <w:rPr>
        <w:color w:val="8A8A8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Default="008B085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085D" w:rsidRDefault="008B085D" w:rsidP="008B085D">
      <w:pPr>
        <w:spacing w:after="0"/>
      </w:pPr>
      <w:r>
        <w:separator/>
      </w:r>
    </w:p>
  </w:footnote>
  <w:footnote w:type="continuationSeparator" w:id="0">
    <w:p w:rsidR="008B085D" w:rsidRDefault="008B085D" w:rsidP="008B085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Default="008B085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Default="008B085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085D" w:rsidRDefault="008B08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20E8F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EE3B50"/>
    <w:rsid w:val="008B085D"/>
    <w:rsid w:val="00EE3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3D4127B2-DDCF-490C-AA40-371E05C97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80"/>
    </w:pPr>
    <w:rPr>
      <w:rFonts w:ascii="Calibri" w:hAnsi="Calibri" w:cs="Calibri"/>
      <w:sz w:val="20"/>
    </w:rPr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160" w:after="60"/>
      <w:outlineLvl w:val="0"/>
    </w:pPr>
    <w:rPr>
      <w:rFonts w:eastAsiaTheme="majorEastAsia"/>
      <w:b/>
      <w:color w:val="1DB954"/>
      <w:sz w:val="32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60"/>
      <w:outlineLvl w:val="1"/>
    </w:pPr>
    <w:rPr>
      <w:rFonts w:eastAsiaTheme="majorEastAsia"/>
      <w:b/>
      <w:color w:val="191414"/>
      <w:sz w:val="24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60"/>
      <w:outlineLvl w:val="2"/>
    </w:pPr>
    <w:rPr>
      <w:rFonts w:eastAsiaTheme="majorEastAsia"/>
      <w:b/>
      <w:color w:val="191414"/>
      <w:sz w:val="22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60"/>
      <w:contextualSpacing/>
      <w:jc w:val="center"/>
    </w:pPr>
    <w:rPr>
      <w:rFonts w:eastAsiaTheme="majorEastAsia"/>
      <w:b/>
      <w:color w:val="1DB954"/>
      <w:sz w:val="4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="Calibri" w:eastAsiaTheme="majorEastAsia" w:hAnsi="Calibri" w:cs="Calibri"/>
      <w:b/>
      <w:color w:val="1DB954"/>
      <w:sz w:val="40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color w:val="8A8A8A"/>
      <w:spacing w:val="15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ascii="Calibri" w:eastAsiaTheme="majorEastAsia" w:hAnsi="Calibri" w:cs="Calibri"/>
      <w:b/>
      <w:color w:val="8A8A8A"/>
      <w:spacing w:val="15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  <w:spacing w:after="40"/>
    </w:pPr>
    <w:rPr>
      <w:color w:val="8A8A8A"/>
      <w:sz w:val="20"/>
      <w:szCs w:val="24"/>
    </w:rPr>
  </w:style>
  <w:style w:type="paragraph" w:styleId="Date">
    <w:name w:val="Date"/>
    <w:basedOn w:val="Titre"/>
    <w:next w:val="Corpsdetexte"/>
    <w:qFormat/>
    <w:pPr>
      <w:keepNext/>
      <w:keepLines/>
      <w:spacing w:after="40"/>
    </w:pPr>
    <w:rPr>
      <w:color w:val="8A8A8A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="Calibri" w:eastAsiaTheme="majorEastAsia" w:hAnsi="Calibri" w:cs="Calibri"/>
      <w:b/>
      <w:color w:val="1DB954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="Calibri" w:eastAsiaTheme="majorEastAsia" w:hAnsi="Calibri" w:cs="Calibri"/>
      <w:b/>
      <w:color w:val="191414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ascii="Calibri" w:eastAsiaTheme="majorEastAsia" w:hAnsi="Calibri" w:cs="Calibri"/>
      <w:b/>
      <w:color w:val="191414"/>
      <w:sz w:val="22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En-tte">
    <w:name w:val="header"/>
    <w:basedOn w:val="Normal"/>
    <w:link w:val="En-tteCar"/>
    <w:unhideWhenUsed/>
    <w:rsid w:val="008B085D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rsid w:val="008B085D"/>
    <w:rPr>
      <w:rFonts w:ascii="Calibri" w:hAnsi="Calibri" w:cs="Calibri"/>
      <w:sz w:val="20"/>
    </w:rPr>
  </w:style>
  <w:style w:type="paragraph" w:styleId="Pieddepage">
    <w:name w:val="footer"/>
    <w:basedOn w:val="Normal"/>
    <w:link w:val="PieddepageCar"/>
    <w:unhideWhenUsed/>
    <w:rsid w:val="008B085D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8B085D"/>
    <w:rPr>
      <w:rFonts w:ascii="Calibri" w:hAnsi="Calibri" w:cs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1498</Words>
  <Characters>8208</Characters>
  <Application>Microsoft Office Word</Application>
  <DocSecurity>0</DocSecurity>
  <Lines>277</Lines>
  <Paragraphs>215</Paragraphs>
  <ScaleCrop>false</ScaleCrop>
  <Company/>
  <LinksUpToDate>false</LinksUpToDate>
  <CharactersWithSpaces>9498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 Plan — Spotify</dc:title>
  <dc:creator>Emeline ROBLOT — Data Governance Specialist</dc:creator>
  <cp:keywords/>
  <cp:lastModifiedBy>Emeline</cp:lastModifiedBy>
  <cp:revision>2</cp:revision>
  <dcterms:created xsi:type="dcterms:W3CDTF">2026-09-19T07:29:00Z</dcterms:created>
  <dcterms:modified xsi:type="dcterms:W3CDTF">2026-09-19T07:30:00Z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Septembre 2026</vt:lpwstr>
  </property>
  <property fmtid="{D5CDD505-2E9C-101B-9397-08002B2CF9AE}" pid="3" name="subtitle">
    <vt:lpwstr>Plan de déploiement du framework et pilote User Data</vt:lpwstr>
  </property>
</Properties>
</file>