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3606" w:rsidRDefault="00275E7E">
      <w:pPr>
        <w:pStyle w:val="Titre"/>
      </w:pPr>
      <w:bookmarkStart w:id="0" w:name="_GoBack"/>
      <w:bookmarkEnd w:id="0"/>
      <w:r>
        <w:t>Data Maturity Assessment — Spotify</w:t>
      </w:r>
    </w:p>
    <w:p w:rsidR="00503606" w:rsidRDefault="00275E7E">
      <w:pPr>
        <w:pStyle w:val="Sous-titre"/>
      </w:pPr>
      <w:r>
        <w:t>Rapport d’évaluation de la maturité data et des challenges de gouvernance</w:t>
      </w:r>
    </w:p>
    <w:p w:rsidR="00503606" w:rsidRDefault="00275E7E">
      <w:pPr>
        <w:pStyle w:val="Author"/>
      </w:pPr>
      <w:r>
        <w:t>Emeline ROBLOT — Data Governance Specialist</w:t>
      </w:r>
    </w:p>
    <w:p w:rsidR="00503606" w:rsidRDefault="00275E7E">
      <w:pPr>
        <w:pStyle w:val="Date"/>
      </w:pPr>
      <w:r>
        <w:t>Septembre 2026</w:t>
      </w:r>
    </w:p>
    <w:p w:rsidR="00503606" w:rsidRDefault="00275E7E">
      <w:pPr>
        <w:pStyle w:val="FirstParagraph"/>
      </w:pPr>
      <w:r>
        <w:rPr>
          <w:b/>
          <w:bCs/>
        </w:rPr>
        <w:t>Périmètre</w:t>
      </w:r>
      <w:r>
        <w:t xml:space="preserve"> </w:t>
      </w:r>
      <w:r>
        <w:t xml:space="preserve">: opérations data globales de Spotify (450 M d’utilisateurs actifs, 200 M d’abonnés premium, 180+ pays). </w:t>
      </w:r>
      <w:r>
        <w:rPr>
          <w:b/>
          <w:bCs/>
        </w:rPr>
        <w:t>Méthode</w:t>
      </w:r>
      <w:r>
        <w:t xml:space="preserve"> : Data Maturity Assessment Template (9 dimensions, échelle 1-5) + analyse du business case.</w:t>
      </w:r>
    </w:p>
    <w:p w:rsidR="00503606" w:rsidRDefault="00275E7E">
      <w:pPr>
        <w:pStyle w:val="Normalcentr"/>
      </w:pPr>
      <w:r>
        <w:rPr>
          <w:b/>
          <w:bCs/>
        </w:rPr>
        <w:t>Hypothèses de travail.</w:t>
      </w:r>
      <w:r>
        <w:t xml:space="preserve"> Ce rapport est réalisé sans </w:t>
      </w:r>
      <w:r>
        <w:t xml:space="preserve">accès aux données internes de Spotify. Les éléments suivants sont des hypothèses fondées sur des sources publiques (blog Spotify Engineering, rapports annuels, décision IMY 2023) et devront être validés en phase 1 du plan d’implémentation : infrastructure </w:t>
      </w:r>
      <w:r>
        <w:t>GCP/BigQuery (migration publique depuis 2016), catalogue interne Lexikon, existence d’un DPO, délégation des paiements à un prestataire certifié PCI-DSS, part de métadonnées de contenu incomplètes.</w:t>
      </w:r>
    </w:p>
    <w:p w:rsidR="00503606" w:rsidRDefault="00275E7E">
      <w:pPr>
        <w:pStyle w:val="Titre2"/>
      </w:pPr>
      <w:bookmarkStart w:id="1" w:name="verdict-global-34-5-proactive-incomplet"/>
      <w:r>
        <w:t>1. Verdict global : 3,4 / 5 — « Proactive » incomplet</w:t>
      </w:r>
    </w:p>
    <w:p w:rsidR="00503606" w:rsidRDefault="00275E7E">
      <w:pPr>
        <w:pStyle w:val="FirstParagraph"/>
      </w:pPr>
      <w:r>
        <w:t xml:space="preserve">Sur </w:t>
      </w:r>
      <w:r>
        <w:t xml:space="preserve">l’échelle du cours (Aware → Reactive → Managed → </w:t>
      </w:r>
      <w:r>
        <w:rPr>
          <w:b/>
          <w:bCs/>
        </w:rPr>
        <w:t>Proactive</w:t>
      </w:r>
      <w:r>
        <w:t xml:space="preserve"> → Effective), Spotify se situe entre </w:t>
      </w:r>
      <w:r>
        <w:rPr>
          <w:b/>
          <w:bCs/>
        </w:rPr>
        <w:t>Managed</w:t>
      </w:r>
      <w:r>
        <w:t xml:space="preserve"> et </w:t>
      </w:r>
      <w:r>
        <w:rPr>
          <w:b/>
          <w:bCs/>
        </w:rPr>
        <w:t>Proactive</w:t>
      </w:r>
      <w:r>
        <w:t xml:space="preserve"> : les processus data existent et l’infrastructure est de niveau « Effective », mais la gouvernance formelle, la conformité multi-juridictio</w:t>
      </w:r>
      <w:r>
        <w:t xml:space="preserve">ns et la data literacy hors équipes techniques restent en retrait. La moyenne des 9 dimensions est de </w:t>
      </w:r>
      <w:r>
        <w:rPr>
          <w:b/>
          <w:bCs/>
        </w:rPr>
        <w:t>3,4 / 5</w:t>
      </w:r>
      <w:r>
        <w:t>.</w:t>
      </w:r>
    </w:p>
    <w:p w:rsidR="00503606" w:rsidRDefault="00275E7E">
      <w:pPr>
        <w:pStyle w:val="Corpsdetexte"/>
      </w:pPr>
      <w:r>
        <w:t xml:space="preserve">Le signal le plus concret : en juin 2023, l’autorité suédoise (IMY) a sanctionné Spotify de </w:t>
      </w:r>
      <w:r>
        <w:rPr>
          <w:b/>
          <w:bCs/>
        </w:rPr>
        <w:t>58 M SEK (≈ 5 M€)</w:t>
      </w:r>
      <w:r>
        <w:t xml:space="preserve"> pour un droit d’accès GDPR insuffis</w:t>
      </w:r>
      <w:r>
        <w:t>amment clair — une défaillance de gouvernance (information sur les durées de conservation et les transferts), pas d’infrastructure.</w:t>
      </w:r>
    </w:p>
    <w:p w:rsidR="00503606" w:rsidRDefault="00275E7E">
      <w:pPr>
        <w:pStyle w:val="Titre2"/>
      </w:pPr>
      <w:bookmarkStart w:id="2" w:name="évaluation-par-dimension"/>
      <w:bookmarkEnd w:id="1"/>
      <w:r>
        <w:t>2. Évaluation par dimension</w:t>
      </w:r>
    </w:p>
    <w:tbl>
      <w:tblPr>
        <w:tblStyle w:val="Table"/>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20" w:firstRow="1" w:lastRow="0" w:firstColumn="0" w:lastColumn="0" w:noHBand="0" w:noVBand="0"/>
      </w:tblPr>
      <w:tblGrid>
        <w:gridCol w:w="1425"/>
        <w:gridCol w:w="713"/>
        <w:gridCol w:w="713"/>
        <w:gridCol w:w="2242"/>
        <w:gridCol w:w="2853"/>
        <w:gridCol w:w="2242"/>
      </w:tblGrid>
      <w:tr w:rsidR="00503606" w:rsidRPr="00275E7E" w:rsidTr="00275E7E">
        <w:trPr>
          <w:cnfStyle w:val="100000000000" w:firstRow="1" w:lastRow="0" w:firstColumn="0" w:lastColumn="0" w:oddVBand="0" w:evenVBand="0" w:oddHBand="0" w:evenHBand="0" w:firstRowFirstColumn="0" w:firstRowLastColumn="0" w:lastRowFirstColumn="0" w:lastRowLastColumn="0"/>
          <w:tblHeader/>
        </w:trPr>
        <w:tc>
          <w:tcPr>
            <w:tcW w:w="1108" w:type="dxa"/>
            <w:tcBorders>
              <w:bottom w:val="none" w:sz="0" w:space="0" w:color="auto"/>
            </w:tcBorders>
            <w:shd w:val="clear" w:color="auto" w:fill="EFEFEF"/>
          </w:tcPr>
          <w:p w:rsidR="00503606" w:rsidRPr="00275E7E" w:rsidRDefault="00275E7E" w:rsidP="00275E7E">
            <w:pPr>
              <w:pStyle w:val="Compact"/>
              <w:spacing w:before="20" w:after="20"/>
              <w:rPr>
                <w:b/>
                <w:sz w:val="16"/>
              </w:rPr>
            </w:pPr>
            <w:r w:rsidRPr="00275E7E">
              <w:rPr>
                <w:b/>
                <w:sz w:val="16"/>
              </w:rPr>
              <w:t>Dimension</w:t>
            </w:r>
          </w:p>
        </w:tc>
        <w:tc>
          <w:tcPr>
            <w:tcW w:w="554" w:type="dxa"/>
            <w:tcBorders>
              <w:bottom w:val="none" w:sz="0" w:space="0" w:color="auto"/>
            </w:tcBorders>
            <w:shd w:val="clear" w:color="auto" w:fill="EFEFEF"/>
          </w:tcPr>
          <w:p w:rsidR="00503606" w:rsidRPr="00275E7E" w:rsidRDefault="00275E7E" w:rsidP="00275E7E">
            <w:pPr>
              <w:pStyle w:val="Compact"/>
              <w:spacing w:before="20" w:after="20"/>
              <w:jc w:val="center"/>
              <w:rPr>
                <w:b/>
                <w:sz w:val="16"/>
              </w:rPr>
            </w:pPr>
            <w:r w:rsidRPr="00275E7E">
              <w:rPr>
                <w:b/>
                <w:sz w:val="16"/>
              </w:rPr>
              <w:t>Actuel</w:t>
            </w:r>
          </w:p>
        </w:tc>
        <w:tc>
          <w:tcPr>
            <w:tcW w:w="554" w:type="dxa"/>
            <w:tcBorders>
              <w:bottom w:val="none" w:sz="0" w:space="0" w:color="auto"/>
            </w:tcBorders>
            <w:shd w:val="clear" w:color="auto" w:fill="EFEFEF"/>
          </w:tcPr>
          <w:p w:rsidR="00503606" w:rsidRPr="00275E7E" w:rsidRDefault="00275E7E" w:rsidP="00275E7E">
            <w:pPr>
              <w:pStyle w:val="Compact"/>
              <w:spacing w:before="20" w:after="20"/>
              <w:jc w:val="center"/>
              <w:rPr>
                <w:b/>
                <w:sz w:val="16"/>
              </w:rPr>
            </w:pPr>
            <w:r w:rsidRPr="00275E7E">
              <w:rPr>
                <w:b/>
                <w:sz w:val="16"/>
              </w:rPr>
              <w:t>Cible M12</w:t>
            </w:r>
          </w:p>
        </w:tc>
        <w:tc>
          <w:tcPr>
            <w:tcW w:w="1742" w:type="dxa"/>
            <w:tcBorders>
              <w:bottom w:val="none" w:sz="0" w:space="0" w:color="auto"/>
            </w:tcBorders>
            <w:shd w:val="clear" w:color="auto" w:fill="EFEFEF"/>
          </w:tcPr>
          <w:p w:rsidR="00503606" w:rsidRPr="00275E7E" w:rsidRDefault="00275E7E" w:rsidP="00275E7E">
            <w:pPr>
              <w:pStyle w:val="Compact"/>
              <w:spacing w:before="20" w:after="20"/>
              <w:rPr>
                <w:b/>
                <w:sz w:val="16"/>
              </w:rPr>
            </w:pPr>
            <w:r w:rsidRPr="00275E7E">
              <w:rPr>
                <w:b/>
                <w:sz w:val="16"/>
              </w:rPr>
              <w:t>Forces</w:t>
            </w:r>
          </w:p>
        </w:tc>
        <w:tc>
          <w:tcPr>
            <w:tcW w:w="2217" w:type="dxa"/>
            <w:tcBorders>
              <w:bottom w:val="none" w:sz="0" w:space="0" w:color="auto"/>
            </w:tcBorders>
            <w:shd w:val="clear" w:color="auto" w:fill="EFEFEF"/>
          </w:tcPr>
          <w:p w:rsidR="00503606" w:rsidRPr="00275E7E" w:rsidRDefault="00275E7E" w:rsidP="00275E7E">
            <w:pPr>
              <w:pStyle w:val="Compact"/>
              <w:spacing w:before="20" w:after="20"/>
              <w:rPr>
                <w:b/>
                <w:sz w:val="16"/>
              </w:rPr>
            </w:pPr>
            <w:r w:rsidRPr="00275E7E">
              <w:rPr>
                <w:b/>
                <w:sz w:val="16"/>
              </w:rPr>
              <w:t>Faiblesses</w:t>
            </w:r>
          </w:p>
        </w:tc>
        <w:tc>
          <w:tcPr>
            <w:tcW w:w="1742" w:type="dxa"/>
            <w:tcBorders>
              <w:bottom w:val="none" w:sz="0" w:space="0" w:color="auto"/>
            </w:tcBorders>
            <w:shd w:val="clear" w:color="auto" w:fill="EFEFEF"/>
          </w:tcPr>
          <w:p w:rsidR="00503606" w:rsidRPr="00275E7E" w:rsidRDefault="00275E7E" w:rsidP="00275E7E">
            <w:pPr>
              <w:pStyle w:val="Compact"/>
              <w:spacing w:before="20" w:after="20"/>
              <w:rPr>
                <w:b/>
                <w:sz w:val="16"/>
              </w:rPr>
            </w:pPr>
            <w:r w:rsidRPr="00275E7E">
              <w:rPr>
                <w:b/>
                <w:sz w:val="16"/>
              </w:rPr>
              <w:t>Plan d’action</w:t>
            </w:r>
          </w:p>
        </w:tc>
      </w:tr>
      <w:tr w:rsidR="00503606" w:rsidRPr="00275E7E" w:rsidTr="00275E7E">
        <w:tc>
          <w:tcPr>
            <w:tcW w:w="1108" w:type="dxa"/>
            <w:shd w:val="clear" w:color="auto" w:fill="auto"/>
          </w:tcPr>
          <w:p w:rsidR="00503606" w:rsidRPr="00275E7E" w:rsidRDefault="00275E7E" w:rsidP="00275E7E">
            <w:pPr>
              <w:pStyle w:val="Compact"/>
              <w:spacing w:before="20" w:after="20"/>
              <w:rPr>
                <w:sz w:val="16"/>
              </w:rPr>
            </w:pPr>
            <w:r w:rsidRPr="00275E7E">
              <w:rPr>
                <w:b/>
                <w:bCs/>
                <w:sz w:val="16"/>
              </w:rPr>
              <w:t>Data Governance</w:t>
            </w:r>
          </w:p>
        </w:tc>
        <w:tc>
          <w:tcPr>
            <w:tcW w:w="554" w:type="dxa"/>
            <w:shd w:val="clear" w:color="auto" w:fill="auto"/>
          </w:tcPr>
          <w:p w:rsidR="00503606" w:rsidRPr="00275E7E" w:rsidRDefault="00275E7E" w:rsidP="00275E7E">
            <w:pPr>
              <w:pStyle w:val="Compact"/>
              <w:spacing w:before="20" w:after="20"/>
              <w:jc w:val="center"/>
              <w:rPr>
                <w:sz w:val="16"/>
              </w:rPr>
            </w:pPr>
            <w:r w:rsidRPr="00275E7E">
              <w:rPr>
                <w:b/>
                <w:bCs/>
                <w:sz w:val="16"/>
              </w:rPr>
              <w:t>2</w:t>
            </w:r>
          </w:p>
        </w:tc>
        <w:tc>
          <w:tcPr>
            <w:tcW w:w="554" w:type="dxa"/>
            <w:shd w:val="clear" w:color="auto" w:fill="auto"/>
          </w:tcPr>
          <w:p w:rsidR="00503606" w:rsidRPr="00275E7E" w:rsidRDefault="00275E7E" w:rsidP="00275E7E">
            <w:pPr>
              <w:pStyle w:val="Compact"/>
              <w:spacing w:before="20" w:after="20"/>
              <w:jc w:val="center"/>
              <w:rPr>
                <w:sz w:val="16"/>
              </w:rPr>
            </w:pPr>
            <w:r w:rsidRPr="00275E7E">
              <w:rPr>
                <w:sz w:val="16"/>
              </w:rPr>
              <w:t>4</w:t>
            </w:r>
          </w:p>
        </w:tc>
        <w:tc>
          <w:tcPr>
            <w:tcW w:w="1742" w:type="dxa"/>
            <w:shd w:val="clear" w:color="auto" w:fill="auto"/>
          </w:tcPr>
          <w:p w:rsidR="00503606" w:rsidRPr="00275E7E" w:rsidRDefault="00275E7E" w:rsidP="00275E7E">
            <w:pPr>
              <w:pStyle w:val="Compact"/>
              <w:spacing w:before="20" w:after="20"/>
              <w:rPr>
                <w:sz w:val="16"/>
              </w:rPr>
            </w:pPr>
            <w:r w:rsidRPr="00275E7E">
              <w:rPr>
                <w:sz w:val="16"/>
              </w:rPr>
              <w:t>Besoin identifié, DPO en place (hyp.)</w:t>
            </w:r>
          </w:p>
        </w:tc>
        <w:tc>
          <w:tcPr>
            <w:tcW w:w="2217" w:type="dxa"/>
            <w:shd w:val="clear" w:color="auto" w:fill="auto"/>
          </w:tcPr>
          <w:p w:rsidR="00503606" w:rsidRPr="00275E7E" w:rsidRDefault="00275E7E" w:rsidP="00275E7E">
            <w:pPr>
              <w:pStyle w:val="Compact"/>
              <w:spacing w:before="20" w:after="20"/>
              <w:rPr>
                <w:sz w:val="16"/>
              </w:rPr>
            </w:pPr>
            <w:r w:rsidRPr="00275E7E">
              <w:rPr>
                <w:sz w:val="16"/>
              </w:rPr>
              <w:t>Pas de CDO ni d’équipe transverse ; chaque département gère ses datasets (business case) ; définitions de métriques divergentes</w:t>
            </w:r>
          </w:p>
        </w:tc>
        <w:tc>
          <w:tcPr>
            <w:tcW w:w="1742" w:type="dxa"/>
            <w:shd w:val="clear" w:color="auto" w:fill="auto"/>
          </w:tcPr>
          <w:p w:rsidR="00503606" w:rsidRPr="00275E7E" w:rsidRDefault="00275E7E" w:rsidP="00275E7E">
            <w:pPr>
              <w:pStyle w:val="Compact"/>
              <w:spacing w:before="20" w:after="20"/>
              <w:rPr>
                <w:sz w:val="16"/>
              </w:rPr>
            </w:pPr>
            <w:r w:rsidRPr="00275E7E">
              <w:rPr>
                <w:sz w:val="16"/>
              </w:rPr>
              <w:t>Nommer un CDO, créer un Centre of Excellence, désigner 5 Data Stewards</w:t>
            </w:r>
          </w:p>
        </w:tc>
      </w:tr>
      <w:tr w:rsidR="00503606" w:rsidRPr="00275E7E" w:rsidTr="00275E7E">
        <w:tc>
          <w:tcPr>
            <w:tcW w:w="1108" w:type="dxa"/>
            <w:shd w:val="clear" w:color="auto" w:fill="auto"/>
          </w:tcPr>
          <w:p w:rsidR="00503606" w:rsidRPr="00275E7E" w:rsidRDefault="00275E7E" w:rsidP="00275E7E">
            <w:pPr>
              <w:pStyle w:val="Compact"/>
              <w:spacing w:before="20" w:after="20"/>
              <w:rPr>
                <w:sz w:val="16"/>
              </w:rPr>
            </w:pPr>
            <w:r w:rsidRPr="00275E7E">
              <w:rPr>
                <w:b/>
                <w:bCs/>
                <w:sz w:val="16"/>
              </w:rPr>
              <w:t>Data Quality</w:t>
            </w:r>
          </w:p>
        </w:tc>
        <w:tc>
          <w:tcPr>
            <w:tcW w:w="554" w:type="dxa"/>
            <w:shd w:val="clear" w:color="auto" w:fill="auto"/>
          </w:tcPr>
          <w:p w:rsidR="00503606" w:rsidRPr="00275E7E" w:rsidRDefault="00275E7E" w:rsidP="00275E7E">
            <w:pPr>
              <w:pStyle w:val="Compact"/>
              <w:spacing w:before="20" w:after="20"/>
              <w:jc w:val="center"/>
              <w:rPr>
                <w:sz w:val="16"/>
              </w:rPr>
            </w:pPr>
            <w:r w:rsidRPr="00275E7E">
              <w:rPr>
                <w:sz w:val="16"/>
              </w:rPr>
              <w:t>3</w:t>
            </w:r>
          </w:p>
        </w:tc>
        <w:tc>
          <w:tcPr>
            <w:tcW w:w="554" w:type="dxa"/>
            <w:shd w:val="clear" w:color="auto" w:fill="auto"/>
          </w:tcPr>
          <w:p w:rsidR="00503606" w:rsidRPr="00275E7E" w:rsidRDefault="00275E7E" w:rsidP="00275E7E">
            <w:pPr>
              <w:pStyle w:val="Compact"/>
              <w:spacing w:before="20" w:after="20"/>
              <w:jc w:val="center"/>
              <w:rPr>
                <w:sz w:val="16"/>
              </w:rPr>
            </w:pPr>
            <w:r w:rsidRPr="00275E7E">
              <w:rPr>
                <w:sz w:val="16"/>
              </w:rPr>
              <w:t>4</w:t>
            </w:r>
          </w:p>
        </w:tc>
        <w:tc>
          <w:tcPr>
            <w:tcW w:w="1742" w:type="dxa"/>
            <w:shd w:val="clear" w:color="auto" w:fill="auto"/>
          </w:tcPr>
          <w:p w:rsidR="00503606" w:rsidRPr="00275E7E" w:rsidRDefault="00275E7E" w:rsidP="00275E7E">
            <w:pPr>
              <w:pStyle w:val="Compact"/>
              <w:spacing w:before="20" w:after="20"/>
              <w:rPr>
                <w:sz w:val="16"/>
              </w:rPr>
            </w:pPr>
            <w:r w:rsidRPr="00275E7E">
              <w:rPr>
                <w:sz w:val="16"/>
              </w:rPr>
              <w:t>V</w:t>
            </w:r>
            <w:r w:rsidRPr="00275E7E">
              <w:rPr>
                <w:sz w:val="16"/>
              </w:rPr>
              <w:t>alidation sur les pipelines critiques (recommandation)</w:t>
            </w:r>
          </w:p>
        </w:tc>
        <w:tc>
          <w:tcPr>
            <w:tcW w:w="2217" w:type="dxa"/>
            <w:shd w:val="clear" w:color="auto" w:fill="auto"/>
          </w:tcPr>
          <w:p w:rsidR="00503606" w:rsidRPr="00275E7E" w:rsidRDefault="00275E7E" w:rsidP="00275E7E">
            <w:pPr>
              <w:pStyle w:val="Compact"/>
              <w:spacing w:before="20" w:after="20"/>
              <w:rPr>
                <w:sz w:val="16"/>
              </w:rPr>
            </w:pPr>
            <w:r w:rsidRPr="00275E7E">
              <w:rPr>
                <w:sz w:val="16"/>
              </w:rPr>
              <w:t>Métadonnées de contenu incomplètes côté labels/distributeurs indépendants (hyp.) ; pas de métriques qualité partagées</w:t>
            </w:r>
          </w:p>
        </w:tc>
        <w:tc>
          <w:tcPr>
            <w:tcW w:w="1742" w:type="dxa"/>
            <w:shd w:val="clear" w:color="auto" w:fill="auto"/>
          </w:tcPr>
          <w:p w:rsidR="00503606" w:rsidRPr="00275E7E" w:rsidRDefault="00275E7E" w:rsidP="00275E7E">
            <w:pPr>
              <w:pStyle w:val="Compact"/>
              <w:spacing w:before="20" w:after="20"/>
              <w:rPr>
                <w:sz w:val="16"/>
              </w:rPr>
            </w:pPr>
            <w:r w:rsidRPr="00275E7E">
              <w:rPr>
                <w:sz w:val="16"/>
              </w:rPr>
              <w:t>Déployer Great Expectations, 4 critères qualité par domaine, baseline mesurée</w:t>
            </w:r>
          </w:p>
        </w:tc>
      </w:tr>
      <w:tr w:rsidR="00503606" w:rsidRPr="00275E7E" w:rsidTr="00275E7E">
        <w:tc>
          <w:tcPr>
            <w:tcW w:w="1108" w:type="dxa"/>
            <w:shd w:val="clear" w:color="auto" w:fill="auto"/>
          </w:tcPr>
          <w:p w:rsidR="00503606" w:rsidRPr="00275E7E" w:rsidRDefault="00275E7E" w:rsidP="00275E7E">
            <w:pPr>
              <w:pStyle w:val="Compact"/>
              <w:spacing w:before="20" w:after="20"/>
              <w:rPr>
                <w:sz w:val="16"/>
              </w:rPr>
            </w:pPr>
            <w:r w:rsidRPr="00275E7E">
              <w:rPr>
                <w:b/>
                <w:bCs/>
                <w:sz w:val="16"/>
              </w:rPr>
              <w:t>Data</w:t>
            </w:r>
            <w:r w:rsidRPr="00275E7E">
              <w:rPr>
                <w:b/>
                <w:bCs/>
                <w:sz w:val="16"/>
              </w:rPr>
              <w:t xml:space="preserve"> Architecture</w:t>
            </w:r>
          </w:p>
        </w:tc>
        <w:tc>
          <w:tcPr>
            <w:tcW w:w="554" w:type="dxa"/>
            <w:shd w:val="clear" w:color="auto" w:fill="auto"/>
          </w:tcPr>
          <w:p w:rsidR="00503606" w:rsidRPr="00275E7E" w:rsidRDefault="00275E7E" w:rsidP="00275E7E">
            <w:pPr>
              <w:pStyle w:val="Compact"/>
              <w:spacing w:before="20" w:after="20"/>
              <w:jc w:val="center"/>
              <w:rPr>
                <w:sz w:val="16"/>
              </w:rPr>
            </w:pPr>
            <w:r w:rsidRPr="00275E7E">
              <w:rPr>
                <w:sz w:val="16"/>
              </w:rPr>
              <w:t>5</w:t>
            </w:r>
          </w:p>
        </w:tc>
        <w:tc>
          <w:tcPr>
            <w:tcW w:w="554" w:type="dxa"/>
            <w:shd w:val="clear" w:color="auto" w:fill="auto"/>
          </w:tcPr>
          <w:p w:rsidR="00503606" w:rsidRPr="00275E7E" w:rsidRDefault="00275E7E" w:rsidP="00275E7E">
            <w:pPr>
              <w:pStyle w:val="Compact"/>
              <w:spacing w:before="20" w:after="20"/>
              <w:jc w:val="center"/>
              <w:rPr>
                <w:sz w:val="16"/>
              </w:rPr>
            </w:pPr>
            <w:r w:rsidRPr="00275E7E">
              <w:rPr>
                <w:sz w:val="16"/>
              </w:rPr>
              <w:t>5</w:t>
            </w:r>
          </w:p>
        </w:tc>
        <w:tc>
          <w:tcPr>
            <w:tcW w:w="1742" w:type="dxa"/>
            <w:shd w:val="clear" w:color="auto" w:fill="auto"/>
          </w:tcPr>
          <w:p w:rsidR="00503606" w:rsidRPr="00275E7E" w:rsidRDefault="00275E7E" w:rsidP="00275E7E">
            <w:pPr>
              <w:pStyle w:val="Compact"/>
              <w:spacing w:before="20" w:after="20"/>
              <w:rPr>
                <w:sz w:val="16"/>
              </w:rPr>
            </w:pPr>
            <w:r w:rsidRPr="00275E7E">
              <w:rPr>
                <w:sz w:val="16"/>
              </w:rPr>
              <w:t>GCP/BigQuery, data lakes, traitement temps réel</w:t>
            </w:r>
          </w:p>
        </w:tc>
        <w:tc>
          <w:tcPr>
            <w:tcW w:w="2217" w:type="dxa"/>
            <w:shd w:val="clear" w:color="auto" w:fill="auto"/>
          </w:tcPr>
          <w:p w:rsidR="00503606" w:rsidRPr="00275E7E" w:rsidRDefault="00275E7E" w:rsidP="00275E7E">
            <w:pPr>
              <w:pStyle w:val="Compact"/>
              <w:spacing w:before="20" w:after="20"/>
              <w:rPr>
                <w:sz w:val="16"/>
              </w:rPr>
            </w:pPr>
            <w:r w:rsidRPr="00275E7E">
              <w:rPr>
                <w:sz w:val="16"/>
              </w:rPr>
              <w:t>Systèmes hérités des acquisitions podcast (Anchor, Gimlet, Parcast)</w:t>
            </w:r>
          </w:p>
        </w:tc>
        <w:tc>
          <w:tcPr>
            <w:tcW w:w="1742" w:type="dxa"/>
            <w:shd w:val="clear" w:color="auto" w:fill="auto"/>
          </w:tcPr>
          <w:p w:rsidR="00503606" w:rsidRPr="00275E7E" w:rsidRDefault="00275E7E" w:rsidP="00275E7E">
            <w:pPr>
              <w:pStyle w:val="Compact"/>
              <w:spacing w:before="20" w:after="20"/>
              <w:rPr>
                <w:sz w:val="16"/>
              </w:rPr>
            </w:pPr>
            <w:r w:rsidRPr="00275E7E">
              <w:rPr>
                <w:sz w:val="16"/>
              </w:rPr>
              <w:t>Standardiser les pipelines des acquisitions</w:t>
            </w:r>
          </w:p>
        </w:tc>
      </w:tr>
      <w:tr w:rsidR="00503606" w:rsidRPr="00275E7E" w:rsidTr="00275E7E">
        <w:tc>
          <w:tcPr>
            <w:tcW w:w="1108" w:type="dxa"/>
            <w:shd w:val="clear" w:color="auto" w:fill="auto"/>
          </w:tcPr>
          <w:p w:rsidR="00503606" w:rsidRPr="00275E7E" w:rsidRDefault="00275E7E" w:rsidP="00275E7E">
            <w:pPr>
              <w:pStyle w:val="Compact"/>
              <w:spacing w:before="20" w:after="20"/>
              <w:rPr>
                <w:sz w:val="16"/>
              </w:rPr>
            </w:pPr>
            <w:r w:rsidRPr="00275E7E">
              <w:rPr>
                <w:b/>
                <w:bCs/>
                <w:sz w:val="16"/>
              </w:rPr>
              <w:t>Compliance</w:t>
            </w:r>
          </w:p>
        </w:tc>
        <w:tc>
          <w:tcPr>
            <w:tcW w:w="554" w:type="dxa"/>
            <w:shd w:val="clear" w:color="auto" w:fill="auto"/>
          </w:tcPr>
          <w:p w:rsidR="00503606" w:rsidRPr="00275E7E" w:rsidRDefault="00275E7E" w:rsidP="00275E7E">
            <w:pPr>
              <w:pStyle w:val="Compact"/>
              <w:spacing w:before="20" w:after="20"/>
              <w:jc w:val="center"/>
              <w:rPr>
                <w:sz w:val="16"/>
              </w:rPr>
            </w:pPr>
            <w:r w:rsidRPr="00275E7E">
              <w:rPr>
                <w:sz w:val="16"/>
              </w:rPr>
              <w:t>3</w:t>
            </w:r>
          </w:p>
        </w:tc>
        <w:tc>
          <w:tcPr>
            <w:tcW w:w="554" w:type="dxa"/>
            <w:shd w:val="clear" w:color="auto" w:fill="auto"/>
          </w:tcPr>
          <w:p w:rsidR="00503606" w:rsidRPr="00275E7E" w:rsidRDefault="00275E7E" w:rsidP="00275E7E">
            <w:pPr>
              <w:pStyle w:val="Compact"/>
              <w:spacing w:before="20" w:after="20"/>
              <w:jc w:val="center"/>
              <w:rPr>
                <w:sz w:val="16"/>
              </w:rPr>
            </w:pPr>
            <w:r w:rsidRPr="00275E7E">
              <w:rPr>
                <w:sz w:val="16"/>
              </w:rPr>
              <w:t>4</w:t>
            </w:r>
          </w:p>
        </w:tc>
        <w:tc>
          <w:tcPr>
            <w:tcW w:w="1742" w:type="dxa"/>
            <w:shd w:val="clear" w:color="auto" w:fill="auto"/>
          </w:tcPr>
          <w:p w:rsidR="00503606" w:rsidRPr="00275E7E" w:rsidRDefault="00275E7E" w:rsidP="00275E7E">
            <w:pPr>
              <w:pStyle w:val="Compact"/>
              <w:spacing w:before="20" w:after="20"/>
              <w:rPr>
                <w:sz w:val="16"/>
              </w:rPr>
            </w:pPr>
            <w:r w:rsidRPr="00275E7E">
              <w:rPr>
                <w:sz w:val="16"/>
              </w:rPr>
              <w:t>DPO, politiques de base, réponse aux demandes utilisateurs</w:t>
            </w:r>
          </w:p>
        </w:tc>
        <w:tc>
          <w:tcPr>
            <w:tcW w:w="2217" w:type="dxa"/>
            <w:shd w:val="clear" w:color="auto" w:fill="auto"/>
          </w:tcPr>
          <w:p w:rsidR="00503606" w:rsidRPr="00275E7E" w:rsidRDefault="00275E7E" w:rsidP="00275E7E">
            <w:pPr>
              <w:pStyle w:val="Compact"/>
              <w:spacing w:before="20" w:after="20"/>
              <w:rPr>
                <w:sz w:val="16"/>
              </w:rPr>
            </w:pPr>
            <w:r w:rsidRPr="00275E7E">
              <w:rPr>
                <w:sz w:val="16"/>
              </w:rPr>
              <w:t>Sanction IMY 2023 (droit d’accès) ; pas de DPIA systématique ; effacement non automatisé ; PDPA/LGPD non formalisés</w:t>
            </w:r>
          </w:p>
        </w:tc>
        <w:tc>
          <w:tcPr>
            <w:tcW w:w="1742" w:type="dxa"/>
            <w:shd w:val="clear" w:color="auto" w:fill="auto"/>
          </w:tcPr>
          <w:p w:rsidR="00503606" w:rsidRPr="00275E7E" w:rsidRDefault="00275E7E" w:rsidP="00275E7E">
            <w:pPr>
              <w:pStyle w:val="Compact"/>
              <w:spacing w:before="20" w:after="20"/>
              <w:rPr>
                <w:sz w:val="16"/>
              </w:rPr>
            </w:pPr>
            <w:r w:rsidRPr="00275E7E">
              <w:rPr>
                <w:sz w:val="16"/>
              </w:rPr>
              <w:t>DPIA obligatoires, pipeline d’effacement &lt; 30 j, OneTrust multi-juridictions</w:t>
            </w:r>
          </w:p>
        </w:tc>
      </w:tr>
      <w:tr w:rsidR="00503606" w:rsidRPr="00275E7E" w:rsidTr="00275E7E">
        <w:tc>
          <w:tcPr>
            <w:tcW w:w="1108" w:type="dxa"/>
            <w:shd w:val="clear" w:color="auto" w:fill="auto"/>
          </w:tcPr>
          <w:p w:rsidR="00503606" w:rsidRPr="00275E7E" w:rsidRDefault="00275E7E" w:rsidP="00275E7E">
            <w:pPr>
              <w:pStyle w:val="Compact"/>
              <w:spacing w:before="20" w:after="20"/>
              <w:rPr>
                <w:sz w:val="16"/>
              </w:rPr>
            </w:pPr>
            <w:r w:rsidRPr="00275E7E">
              <w:rPr>
                <w:b/>
                <w:bCs/>
                <w:sz w:val="16"/>
              </w:rPr>
              <w:t>Data Usage &amp; Accessibility</w:t>
            </w:r>
          </w:p>
        </w:tc>
        <w:tc>
          <w:tcPr>
            <w:tcW w:w="554" w:type="dxa"/>
            <w:shd w:val="clear" w:color="auto" w:fill="auto"/>
          </w:tcPr>
          <w:p w:rsidR="00503606" w:rsidRPr="00275E7E" w:rsidRDefault="00275E7E" w:rsidP="00275E7E">
            <w:pPr>
              <w:pStyle w:val="Compact"/>
              <w:spacing w:before="20" w:after="20"/>
              <w:jc w:val="center"/>
              <w:rPr>
                <w:sz w:val="16"/>
              </w:rPr>
            </w:pPr>
            <w:r w:rsidRPr="00275E7E">
              <w:rPr>
                <w:sz w:val="16"/>
              </w:rPr>
              <w:t>3</w:t>
            </w:r>
          </w:p>
        </w:tc>
        <w:tc>
          <w:tcPr>
            <w:tcW w:w="554" w:type="dxa"/>
            <w:shd w:val="clear" w:color="auto" w:fill="auto"/>
          </w:tcPr>
          <w:p w:rsidR="00503606" w:rsidRPr="00275E7E" w:rsidRDefault="00275E7E" w:rsidP="00275E7E">
            <w:pPr>
              <w:pStyle w:val="Compact"/>
              <w:spacing w:before="20" w:after="20"/>
              <w:jc w:val="center"/>
              <w:rPr>
                <w:sz w:val="16"/>
              </w:rPr>
            </w:pPr>
            <w:r w:rsidRPr="00275E7E">
              <w:rPr>
                <w:sz w:val="16"/>
              </w:rPr>
              <w:t>4</w:t>
            </w:r>
          </w:p>
        </w:tc>
        <w:tc>
          <w:tcPr>
            <w:tcW w:w="1742" w:type="dxa"/>
            <w:shd w:val="clear" w:color="auto" w:fill="auto"/>
          </w:tcPr>
          <w:p w:rsidR="00503606" w:rsidRPr="00275E7E" w:rsidRDefault="00275E7E" w:rsidP="00275E7E">
            <w:pPr>
              <w:pStyle w:val="Compact"/>
              <w:spacing w:before="20" w:after="20"/>
              <w:rPr>
                <w:sz w:val="16"/>
              </w:rPr>
            </w:pPr>
            <w:r w:rsidRPr="00275E7E">
              <w:rPr>
                <w:sz w:val="16"/>
              </w:rPr>
              <w:t>Culture A/B testing, catalogue Lexikon (adoption 95 % des data scientists)</w:t>
            </w:r>
          </w:p>
        </w:tc>
        <w:tc>
          <w:tcPr>
            <w:tcW w:w="2217" w:type="dxa"/>
            <w:shd w:val="clear" w:color="auto" w:fill="auto"/>
          </w:tcPr>
          <w:p w:rsidR="00503606" w:rsidRPr="00275E7E" w:rsidRDefault="00275E7E" w:rsidP="00275E7E">
            <w:pPr>
              <w:pStyle w:val="Compact"/>
              <w:spacing w:before="20" w:after="20"/>
              <w:rPr>
                <w:sz w:val="16"/>
              </w:rPr>
            </w:pPr>
            <w:r w:rsidRPr="00275E7E">
              <w:rPr>
                <w:sz w:val="16"/>
              </w:rPr>
              <w:t>Silos Marketing / Product / Engineering / Content ; pas de vision unifiée du parcours utilisateur</w:t>
            </w:r>
          </w:p>
        </w:tc>
        <w:tc>
          <w:tcPr>
            <w:tcW w:w="1742" w:type="dxa"/>
            <w:shd w:val="clear" w:color="auto" w:fill="auto"/>
          </w:tcPr>
          <w:p w:rsidR="00503606" w:rsidRPr="00275E7E" w:rsidRDefault="00275E7E" w:rsidP="00275E7E">
            <w:pPr>
              <w:pStyle w:val="Compact"/>
              <w:spacing w:before="20" w:after="20"/>
              <w:rPr>
                <w:sz w:val="16"/>
              </w:rPr>
            </w:pPr>
            <w:r w:rsidRPr="00275E7E">
              <w:rPr>
                <w:sz w:val="16"/>
              </w:rPr>
              <w:t>Étendre le catalogue à tous les domaines, règles d’accès par classification</w:t>
            </w:r>
          </w:p>
        </w:tc>
      </w:tr>
      <w:tr w:rsidR="00503606" w:rsidRPr="00275E7E" w:rsidTr="00275E7E">
        <w:tc>
          <w:tcPr>
            <w:tcW w:w="1108" w:type="dxa"/>
            <w:shd w:val="clear" w:color="auto" w:fill="auto"/>
          </w:tcPr>
          <w:p w:rsidR="00503606" w:rsidRPr="00275E7E" w:rsidRDefault="00275E7E" w:rsidP="00275E7E">
            <w:pPr>
              <w:pStyle w:val="Compact"/>
              <w:spacing w:before="20" w:after="20"/>
              <w:rPr>
                <w:sz w:val="16"/>
              </w:rPr>
            </w:pPr>
            <w:r w:rsidRPr="00275E7E">
              <w:rPr>
                <w:b/>
                <w:bCs/>
                <w:sz w:val="16"/>
              </w:rPr>
              <w:t>Data S</w:t>
            </w:r>
            <w:r w:rsidRPr="00275E7E">
              <w:rPr>
                <w:b/>
                <w:bCs/>
                <w:sz w:val="16"/>
              </w:rPr>
              <w:t>ecurity</w:t>
            </w:r>
          </w:p>
        </w:tc>
        <w:tc>
          <w:tcPr>
            <w:tcW w:w="554" w:type="dxa"/>
            <w:shd w:val="clear" w:color="auto" w:fill="auto"/>
          </w:tcPr>
          <w:p w:rsidR="00503606" w:rsidRPr="00275E7E" w:rsidRDefault="00275E7E" w:rsidP="00275E7E">
            <w:pPr>
              <w:pStyle w:val="Compact"/>
              <w:spacing w:before="20" w:after="20"/>
              <w:jc w:val="center"/>
              <w:rPr>
                <w:sz w:val="16"/>
              </w:rPr>
            </w:pPr>
            <w:r w:rsidRPr="00275E7E">
              <w:rPr>
                <w:sz w:val="16"/>
              </w:rPr>
              <w:t>4</w:t>
            </w:r>
          </w:p>
        </w:tc>
        <w:tc>
          <w:tcPr>
            <w:tcW w:w="554" w:type="dxa"/>
            <w:shd w:val="clear" w:color="auto" w:fill="auto"/>
          </w:tcPr>
          <w:p w:rsidR="00503606" w:rsidRPr="00275E7E" w:rsidRDefault="00275E7E" w:rsidP="00275E7E">
            <w:pPr>
              <w:pStyle w:val="Compact"/>
              <w:spacing w:before="20" w:after="20"/>
              <w:jc w:val="center"/>
              <w:rPr>
                <w:sz w:val="16"/>
              </w:rPr>
            </w:pPr>
            <w:r w:rsidRPr="00275E7E">
              <w:rPr>
                <w:sz w:val="16"/>
              </w:rPr>
              <w:t>4</w:t>
            </w:r>
          </w:p>
        </w:tc>
        <w:tc>
          <w:tcPr>
            <w:tcW w:w="1742" w:type="dxa"/>
            <w:shd w:val="clear" w:color="auto" w:fill="auto"/>
          </w:tcPr>
          <w:p w:rsidR="00503606" w:rsidRPr="00275E7E" w:rsidRDefault="00275E7E" w:rsidP="00275E7E">
            <w:pPr>
              <w:pStyle w:val="Compact"/>
              <w:spacing w:before="20" w:after="20"/>
              <w:rPr>
                <w:sz w:val="16"/>
              </w:rPr>
            </w:pPr>
            <w:r w:rsidRPr="00275E7E">
              <w:rPr>
                <w:sz w:val="16"/>
              </w:rPr>
              <w:t>Chiffrement en transit, contrôle d’accès, paiements délégués (PCI-DSS)</w:t>
            </w:r>
          </w:p>
        </w:tc>
        <w:tc>
          <w:tcPr>
            <w:tcW w:w="2217" w:type="dxa"/>
            <w:shd w:val="clear" w:color="auto" w:fill="auto"/>
          </w:tcPr>
          <w:p w:rsidR="00503606" w:rsidRPr="00275E7E" w:rsidRDefault="00275E7E" w:rsidP="00275E7E">
            <w:pPr>
              <w:pStyle w:val="Compact"/>
              <w:spacing w:before="20" w:after="20"/>
              <w:rPr>
                <w:sz w:val="16"/>
              </w:rPr>
            </w:pPr>
            <w:r w:rsidRPr="00275E7E">
              <w:rPr>
                <w:sz w:val="16"/>
              </w:rPr>
              <w:t>Classification des données sensibles incomplète ; pas de SIEM unifié (hyp.)</w:t>
            </w:r>
          </w:p>
        </w:tc>
        <w:tc>
          <w:tcPr>
            <w:tcW w:w="1742" w:type="dxa"/>
            <w:shd w:val="clear" w:color="auto" w:fill="auto"/>
          </w:tcPr>
          <w:p w:rsidR="00503606" w:rsidRPr="00275E7E" w:rsidRDefault="00275E7E" w:rsidP="00275E7E">
            <w:pPr>
              <w:pStyle w:val="Compact"/>
              <w:spacing w:before="20" w:after="20"/>
              <w:rPr>
                <w:sz w:val="16"/>
              </w:rPr>
            </w:pPr>
            <w:r w:rsidRPr="00275E7E">
              <w:rPr>
                <w:sz w:val="16"/>
              </w:rPr>
              <w:t>Classification 4 niveaux, SIEM Splunk</w:t>
            </w:r>
          </w:p>
        </w:tc>
      </w:tr>
      <w:tr w:rsidR="00503606" w:rsidRPr="00275E7E" w:rsidTr="00275E7E">
        <w:tc>
          <w:tcPr>
            <w:tcW w:w="1108" w:type="dxa"/>
            <w:shd w:val="clear" w:color="auto" w:fill="auto"/>
          </w:tcPr>
          <w:p w:rsidR="00503606" w:rsidRPr="00275E7E" w:rsidRDefault="00275E7E" w:rsidP="00275E7E">
            <w:pPr>
              <w:pStyle w:val="Compact"/>
              <w:spacing w:before="20" w:after="20"/>
              <w:rPr>
                <w:sz w:val="16"/>
              </w:rPr>
            </w:pPr>
            <w:r w:rsidRPr="00275E7E">
              <w:rPr>
                <w:b/>
                <w:bCs/>
                <w:sz w:val="16"/>
              </w:rPr>
              <w:t>Data Literacy</w:t>
            </w:r>
          </w:p>
        </w:tc>
        <w:tc>
          <w:tcPr>
            <w:tcW w:w="554" w:type="dxa"/>
            <w:shd w:val="clear" w:color="auto" w:fill="auto"/>
          </w:tcPr>
          <w:p w:rsidR="00503606" w:rsidRPr="00275E7E" w:rsidRDefault="00275E7E" w:rsidP="00275E7E">
            <w:pPr>
              <w:pStyle w:val="Compact"/>
              <w:spacing w:before="20" w:after="20"/>
              <w:jc w:val="center"/>
              <w:rPr>
                <w:sz w:val="16"/>
              </w:rPr>
            </w:pPr>
            <w:r w:rsidRPr="00275E7E">
              <w:rPr>
                <w:sz w:val="16"/>
              </w:rPr>
              <w:t>3</w:t>
            </w:r>
          </w:p>
        </w:tc>
        <w:tc>
          <w:tcPr>
            <w:tcW w:w="554" w:type="dxa"/>
            <w:shd w:val="clear" w:color="auto" w:fill="auto"/>
          </w:tcPr>
          <w:p w:rsidR="00503606" w:rsidRPr="00275E7E" w:rsidRDefault="00275E7E" w:rsidP="00275E7E">
            <w:pPr>
              <w:pStyle w:val="Compact"/>
              <w:spacing w:before="20" w:after="20"/>
              <w:jc w:val="center"/>
              <w:rPr>
                <w:sz w:val="16"/>
              </w:rPr>
            </w:pPr>
            <w:r w:rsidRPr="00275E7E">
              <w:rPr>
                <w:sz w:val="16"/>
              </w:rPr>
              <w:t>4</w:t>
            </w:r>
          </w:p>
        </w:tc>
        <w:tc>
          <w:tcPr>
            <w:tcW w:w="1742" w:type="dxa"/>
            <w:shd w:val="clear" w:color="auto" w:fill="auto"/>
          </w:tcPr>
          <w:p w:rsidR="00503606" w:rsidRPr="00275E7E" w:rsidRDefault="00275E7E" w:rsidP="00275E7E">
            <w:pPr>
              <w:pStyle w:val="Compact"/>
              <w:spacing w:before="20" w:after="20"/>
              <w:rPr>
                <w:sz w:val="16"/>
              </w:rPr>
            </w:pPr>
            <w:r w:rsidRPr="00275E7E">
              <w:rPr>
                <w:sz w:val="16"/>
              </w:rPr>
              <w:t>Forte dans les squads produit et data</w:t>
            </w:r>
          </w:p>
        </w:tc>
        <w:tc>
          <w:tcPr>
            <w:tcW w:w="2217" w:type="dxa"/>
            <w:shd w:val="clear" w:color="auto" w:fill="auto"/>
          </w:tcPr>
          <w:p w:rsidR="00503606" w:rsidRPr="00275E7E" w:rsidRDefault="00275E7E" w:rsidP="00275E7E">
            <w:pPr>
              <w:pStyle w:val="Compact"/>
              <w:spacing w:before="20" w:after="20"/>
              <w:rPr>
                <w:sz w:val="16"/>
              </w:rPr>
            </w:pPr>
            <w:r w:rsidRPr="00275E7E">
              <w:rPr>
                <w:sz w:val="16"/>
              </w:rPr>
              <w:t>Faible maîtrise des principes de gouvernance et conformité en Marketing, Legal, Content</w:t>
            </w:r>
          </w:p>
        </w:tc>
        <w:tc>
          <w:tcPr>
            <w:tcW w:w="1742" w:type="dxa"/>
            <w:shd w:val="clear" w:color="auto" w:fill="auto"/>
          </w:tcPr>
          <w:p w:rsidR="00503606" w:rsidRPr="00275E7E" w:rsidRDefault="00275E7E" w:rsidP="00275E7E">
            <w:pPr>
              <w:pStyle w:val="Compact"/>
              <w:spacing w:before="20" w:after="20"/>
              <w:rPr>
                <w:sz w:val="16"/>
              </w:rPr>
            </w:pPr>
            <w:r w:rsidRPr="00275E7E">
              <w:rPr>
                <w:sz w:val="16"/>
              </w:rPr>
              <w:t>Formation par rôle, e-learning obligatoire</w:t>
            </w:r>
          </w:p>
        </w:tc>
      </w:tr>
      <w:tr w:rsidR="00503606" w:rsidRPr="00275E7E" w:rsidTr="00275E7E">
        <w:tc>
          <w:tcPr>
            <w:tcW w:w="1108" w:type="dxa"/>
            <w:shd w:val="clear" w:color="auto" w:fill="auto"/>
          </w:tcPr>
          <w:p w:rsidR="00503606" w:rsidRPr="00275E7E" w:rsidRDefault="00275E7E" w:rsidP="00275E7E">
            <w:pPr>
              <w:pStyle w:val="Compact"/>
              <w:spacing w:before="20" w:after="20"/>
              <w:rPr>
                <w:sz w:val="16"/>
              </w:rPr>
            </w:pPr>
            <w:r w:rsidRPr="00275E7E">
              <w:rPr>
                <w:b/>
                <w:bCs/>
                <w:sz w:val="16"/>
              </w:rPr>
              <w:t>Data Integration</w:t>
            </w:r>
          </w:p>
        </w:tc>
        <w:tc>
          <w:tcPr>
            <w:tcW w:w="554" w:type="dxa"/>
            <w:shd w:val="clear" w:color="auto" w:fill="auto"/>
          </w:tcPr>
          <w:p w:rsidR="00503606" w:rsidRPr="00275E7E" w:rsidRDefault="00275E7E" w:rsidP="00275E7E">
            <w:pPr>
              <w:pStyle w:val="Compact"/>
              <w:spacing w:before="20" w:after="20"/>
              <w:jc w:val="center"/>
              <w:rPr>
                <w:sz w:val="16"/>
              </w:rPr>
            </w:pPr>
            <w:r w:rsidRPr="00275E7E">
              <w:rPr>
                <w:sz w:val="16"/>
              </w:rPr>
              <w:t>3</w:t>
            </w:r>
          </w:p>
        </w:tc>
        <w:tc>
          <w:tcPr>
            <w:tcW w:w="554" w:type="dxa"/>
            <w:shd w:val="clear" w:color="auto" w:fill="auto"/>
          </w:tcPr>
          <w:p w:rsidR="00503606" w:rsidRPr="00275E7E" w:rsidRDefault="00275E7E" w:rsidP="00275E7E">
            <w:pPr>
              <w:pStyle w:val="Compact"/>
              <w:spacing w:before="20" w:after="20"/>
              <w:jc w:val="center"/>
              <w:rPr>
                <w:sz w:val="16"/>
              </w:rPr>
            </w:pPr>
            <w:r w:rsidRPr="00275E7E">
              <w:rPr>
                <w:sz w:val="16"/>
              </w:rPr>
              <w:t>4</w:t>
            </w:r>
          </w:p>
        </w:tc>
        <w:tc>
          <w:tcPr>
            <w:tcW w:w="1742" w:type="dxa"/>
            <w:shd w:val="clear" w:color="auto" w:fill="auto"/>
          </w:tcPr>
          <w:p w:rsidR="00503606" w:rsidRPr="00275E7E" w:rsidRDefault="00275E7E" w:rsidP="00275E7E">
            <w:pPr>
              <w:pStyle w:val="Compact"/>
              <w:spacing w:before="20" w:after="20"/>
              <w:rPr>
                <w:sz w:val="16"/>
              </w:rPr>
            </w:pPr>
            <w:r w:rsidRPr="00275E7E">
              <w:rPr>
                <w:sz w:val="16"/>
              </w:rPr>
              <w:t>Pipelines inter-systèmes opérationnels</w:t>
            </w:r>
          </w:p>
        </w:tc>
        <w:tc>
          <w:tcPr>
            <w:tcW w:w="2217" w:type="dxa"/>
            <w:shd w:val="clear" w:color="auto" w:fill="auto"/>
          </w:tcPr>
          <w:p w:rsidR="00503606" w:rsidRPr="00275E7E" w:rsidRDefault="00275E7E" w:rsidP="00275E7E">
            <w:pPr>
              <w:pStyle w:val="Compact"/>
              <w:spacing w:before="20" w:after="20"/>
              <w:rPr>
                <w:sz w:val="16"/>
              </w:rPr>
            </w:pPr>
            <w:r w:rsidRPr="00275E7E">
              <w:rPr>
                <w:sz w:val="16"/>
              </w:rPr>
              <w:t xml:space="preserve">Intégration incomplète des podcasts ; pas de lineage de bout en </w:t>
            </w:r>
            <w:r w:rsidRPr="00275E7E">
              <w:rPr>
                <w:sz w:val="16"/>
              </w:rPr>
              <w:t>bout</w:t>
            </w:r>
          </w:p>
        </w:tc>
        <w:tc>
          <w:tcPr>
            <w:tcW w:w="1742" w:type="dxa"/>
            <w:shd w:val="clear" w:color="auto" w:fill="auto"/>
          </w:tcPr>
          <w:p w:rsidR="00503606" w:rsidRPr="00275E7E" w:rsidRDefault="00275E7E" w:rsidP="00275E7E">
            <w:pPr>
              <w:pStyle w:val="Compact"/>
              <w:spacing w:before="20" w:after="20"/>
              <w:rPr>
                <w:sz w:val="16"/>
              </w:rPr>
            </w:pPr>
            <w:r w:rsidRPr="00275E7E">
              <w:rPr>
                <w:sz w:val="16"/>
              </w:rPr>
              <w:t>OpenLineage + Marquez, pipelines standardisés</w:t>
            </w:r>
          </w:p>
        </w:tc>
      </w:tr>
      <w:tr w:rsidR="00503606" w:rsidRPr="00275E7E" w:rsidTr="00275E7E">
        <w:tc>
          <w:tcPr>
            <w:tcW w:w="1108" w:type="dxa"/>
            <w:shd w:val="clear" w:color="auto" w:fill="auto"/>
          </w:tcPr>
          <w:p w:rsidR="00503606" w:rsidRPr="00275E7E" w:rsidRDefault="00275E7E" w:rsidP="00275E7E">
            <w:pPr>
              <w:pStyle w:val="Compact"/>
              <w:spacing w:before="20" w:after="20"/>
              <w:rPr>
                <w:sz w:val="16"/>
              </w:rPr>
            </w:pPr>
            <w:r w:rsidRPr="00275E7E">
              <w:rPr>
                <w:b/>
                <w:bCs/>
                <w:sz w:val="16"/>
              </w:rPr>
              <w:t>Analytics &amp; BI</w:t>
            </w:r>
          </w:p>
        </w:tc>
        <w:tc>
          <w:tcPr>
            <w:tcW w:w="554" w:type="dxa"/>
            <w:shd w:val="clear" w:color="auto" w:fill="auto"/>
          </w:tcPr>
          <w:p w:rsidR="00503606" w:rsidRPr="00275E7E" w:rsidRDefault="00275E7E" w:rsidP="00275E7E">
            <w:pPr>
              <w:pStyle w:val="Compact"/>
              <w:spacing w:before="20" w:after="20"/>
              <w:jc w:val="center"/>
              <w:rPr>
                <w:sz w:val="16"/>
              </w:rPr>
            </w:pPr>
            <w:r w:rsidRPr="00275E7E">
              <w:rPr>
                <w:sz w:val="16"/>
              </w:rPr>
              <w:t>5</w:t>
            </w:r>
          </w:p>
        </w:tc>
        <w:tc>
          <w:tcPr>
            <w:tcW w:w="554" w:type="dxa"/>
            <w:shd w:val="clear" w:color="auto" w:fill="auto"/>
          </w:tcPr>
          <w:p w:rsidR="00503606" w:rsidRPr="00275E7E" w:rsidRDefault="00275E7E" w:rsidP="00275E7E">
            <w:pPr>
              <w:pStyle w:val="Compact"/>
              <w:spacing w:before="20" w:after="20"/>
              <w:jc w:val="center"/>
              <w:rPr>
                <w:sz w:val="16"/>
              </w:rPr>
            </w:pPr>
            <w:r w:rsidRPr="00275E7E">
              <w:rPr>
                <w:sz w:val="16"/>
              </w:rPr>
              <w:t>5</w:t>
            </w:r>
          </w:p>
        </w:tc>
        <w:tc>
          <w:tcPr>
            <w:tcW w:w="1742" w:type="dxa"/>
            <w:shd w:val="clear" w:color="auto" w:fill="auto"/>
          </w:tcPr>
          <w:p w:rsidR="00503606" w:rsidRPr="00275E7E" w:rsidRDefault="00275E7E" w:rsidP="00275E7E">
            <w:pPr>
              <w:pStyle w:val="Compact"/>
              <w:spacing w:before="20" w:after="20"/>
              <w:rPr>
                <w:sz w:val="16"/>
              </w:rPr>
            </w:pPr>
            <w:r w:rsidRPr="00275E7E">
              <w:rPr>
                <w:sz w:val="16"/>
              </w:rPr>
              <w:t>Moteur de recommandation ML de référence (Discover Weekly, Daily Mix), A/B testing massif</w:t>
            </w:r>
          </w:p>
        </w:tc>
        <w:tc>
          <w:tcPr>
            <w:tcW w:w="2217" w:type="dxa"/>
            <w:shd w:val="clear" w:color="auto" w:fill="auto"/>
          </w:tcPr>
          <w:p w:rsidR="00503606" w:rsidRPr="00275E7E" w:rsidRDefault="00275E7E" w:rsidP="00275E7E">
            <w:pPr>
              <w:pStyle w:val="Compact"/>
              <w:spacing w:before="20" w:after="20"/>
              <w:rPr>
                <w:sz w:val="16"/>
              </w:rPr>
            </w:pPr>
            <w:r w:rsidRPr="00275E7E">
              <w:rPr>
                <w:sz w:val="16"/>
              </w:rPr>
              <w:t>Biais et explicabilité des recommandations non audités (obligation DSA art. 27)</w:t>
            </w:r>
          </w:p>
        </w:tc>
        <w:tc>
          <w:tcPr>
            <w:tcW w:w="1742" w:type="dxa"/>
            <w:shd w:val="clear" w:color="auto" w:fill="auto"/>
          </w:tcPr>
          <w:p w:rsidR="00503606" w:rsidRPr="00275E7E" w:rsidRDefault="00275E7E" w:rsidP="00275E7E">
            <w:pPr>
              <w:pStyle w:val="Compact"/>
              <w:spacing w:before="20" w:after="20"/>
              <w:rPr>
                <w:sz w:val="16"/>
              </w:rPr>
            </w:pPr>
            <w:r w:rsidRPr="00275E7E">
              <w:rPr>
                <w:sz w:val="16"/>
              </w:rPr>
              <w:t>Audit trimestri</w:t>
            </w:r>
            <w:r w:rsidRPr="00275E7E">
              <w:rPr>
                <w:sz w:val="16"/>
              </w:rPr>
              <w:t>el des biais, explicabilité utilisateur</w:t>
            </w:r>
          </w:p>
        </w:tc>
      </w:tr>
    </w:tbl>
    <w:p w:rsidR="00503606" w:rsidRDefault="00275E7E" w:rsidP="00275E7E">
      <w:pPr>
        <w:pStyle w:val="Corpsdetexte"/>
        <w:spacing w:after="40"/>
        <w:jc w:val="center"/>
      </w:pPr>
      <w:r>
        <w:rPr>
          <w:noProof/>
          <w:lang w:val="fr-FR" w:eastAsia="fr-FR"/>
        </w:rPr>
        <w:lastRenderedPageBreak/>
        <w:drawing>
          <wp:inline distT="0" distB="0" distL="0" distR="0">
            <wp:extent cx="3059999" cy="2818421"/>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assets/radar-maturite.png"/>
                    <pic:cNvPicPr>
                      <a:picLocks noChangeAspect="1" noChangeArrowheads="1"/>
                    </pic:cNvPicPr>
                  </pic:nvPicPr>
                  <pic:blipFill>
                    <a:blip r:embed="rId7"/>
                    <a:stretch>
                      <a:fillRect/>
                    </a:stretch>
                  </pic:blipFill>
                  <pic:spPr bwMode="auto">
                    <a:xfrm>
                      <a:off x="0" y="0"/>
                      <a:ext cx="3059999" cy="2818421"/>
                    </a:xfrm>
                    <a:prstGeom prst="rect">
                      <a:avLst/>
                    </a:prstGeom>
                    <a:noFill/>
                    <a:ln w="9525">
                      <a:noFill/>
                      <a:headEnd/>
                      <a:tailEnd/>
                    </a:ln>
                  </pic:spPr>
                </pic:pic>
              </a:graphicData>
            </a:graphic>
          </wp:inline>
        </w:drawing>
      </w:r>
    </w:p>
    <w:p w:rsidR="00503606" w:rsidRDefault="00275E7E">
      <w:pPr>
        <w:pStyle w:val="Titre2"/>
      </w:pPr>
      <w:bookmarkStart w:id="3" w:name="challenges-prioritaires"/>
      <w:bookmarkEnd w:id="2"/>
      <w:r>
        <w:t>3. Challenges prioritaires</w:t>
      </w:r>
    </w:p>
    <w:p w:rsidR="00503606" w:rsidRDefault="00275E7E">
      <w:pPr>
        <w:pStyle w:val="FirstParagraph"/>
      </w:pPr>
      <w:r>
        <w:rPr>
          <w:b/>
          <w:bCs/>
        </w:rPr>
        <w:t>1. Gouvernance sans structure — URGENT.</w:t>
      </w:r>
      <w:r>
        <w:t xml:space="preserve"> Pas de CDO, pas d’ownership transverse : les décisions data sont prises département par département. Symptôme : « utilisateur actif » n’a pas la m</w:t>
      </w:r>
      <w:r>
        <w:t xml:space="preserve">ême définition en Marketing et en Product. Le business case le formule ainsi : </w:t>
      </w:r>
      <w:r>
        <w:rPr>
          <w:i/>
          <w:iCs/>
        </w:rPr>
        <w:t>« different departments manage their own datasets independently »</w:t>
      </w:r>
      <w:r>
        <w:t>.</w:t>
      </w:r>
    </w:p>
    <w:p w:rsidR="00503606" w:rsidRDefault="00275E7E">
      <w:pPr>
        <w:pStyle w:val="Corpsdetexte"/>
      </w:pPr>
      <w:r>
        <w:rPr>
          <w:b/>
          <w:bCs/>
        </w:rPr>
        <w:t>2. Conformité multi-juridictions — URGENT.</w:t>
      </w:r>
      <w:r>
        <w:t xml:space="preserve"> Exposition simultanée au GDPR (jusqu’à 20 M€ ou </w:t>
      </w:r>
      <w:r>
        <w:rPr>
          <w:b/>
          <w:bCs/>
        </w:rPr>
        <w:t>4 % du CA mondial</w:t>
      </w:r>
      <w:r>
        <w:t xml:space="preserve">, </w:t>
      </w:r>
      <w:r>
        <w:t>soit ≈ 530 M€ sur un CA 2023 de 13,25 Md€ ; notification de violation sous 72 h), au CCPA/CPRA, au PDPA (Singapour), à la LGPD (Brésil) et au DSA (transparence des recommandations). La sanction IMY 2023 montre que le risque n’est pas théorique.</w:t>
      </w:r>
    </w:p>
    <w:p w:rsidR="00503606" w:rsidRDefault="00275E7E">
      <w:pPr>
        <w:pStyle w:val="Corpsdetexte"/>
      </w:pPr>
      <w:r>
        <w:rPr>
          <w:b/>
          <w:bCs/>
        </w:rPr>
        <w:t>3. Silos inter-départements — HAUTE.</w:t>
      </w:r>
      <w:r>
        <w:t xml:space="preserve"> Marketing, Product, Engineering et Content gèrent des datasets séparés. Reconstituer le parcours découverte → conversion premium exige de croiser des données aujourd’hui inaccessibles. Conséquences : analyses incomplète</w:t>
      </w:r>
      <w:r>
        <w:t>s, doublons, features retardées.</w:t>
      </w:r>
    </w:p>
    <w:p w:rsidR="00503606" w:rsidRDefault="00275E7E">
      <w:pPr>
        <w:pStyle w:val="Corpsdetexte"/>
      </w:pPr>
      <w:r>
        <w:rPr>
          <w:b/>
          <w:bCs/>
        </w:rPr>
        <w:t>4. Qualité des données — HAUTE.</w:t>
      </w:r>
      <w:r>
        <w:t xml:space="preserve"> Métadonnées de contenu incomplètes ou erronées (ISRC, droits, genres) et données comportementales capturées de façon inconsistante dégradent la recommandation, la distribution des royalties e</w:t>
      </w:r>
      <w:r>
        <w:t>t le reporting. Face à Apple Music, Amazon Music et YouTube Music, la qualité de la recommandation est un facteur direct de rétention.</w:t>
      </w:r>
    </w:p>
    <w:p w:rsidR="00503606" w:rsidRDefault="00275E7E">
      <w:pPr>
        <w:pStyle w:val="Corpsdetexte"/>
      </w:pPr>
      <w:r>
        <w:rPr>
          <w:b/>
          <w:bCs/>
        </w:rPr>
        <w:t>5. Privacy et éthique algorithmique — HAUTE.</w:t>
      </w:r>
      <w:r>
        <w:t xml:space="preserve"> Les utilisateurs et régulateurs attendent transparence, anonymisation quand </w:t>
      </w:r>
      <w:r>
        <w:t>c’est possible et contrôle sur les données (opt-out, effacement). Les historiques d’écoute peuvent révéler des informations sensibles inférées (humeur, convictions) et la recommandation n’est pas auditée pour les biais.</w:t>
      </w:r>
    </w:p>
    <w:p w:rsidR="00503606" w:rsidRDefault="00275E7E">
      <w:pPr>
        <w:pStyle w:val="Titre2"/>
      </w:pPr>
      <w:bookmarkStart w:id="4" w:name="cibles-à-12-mois"/>
      <w:bookmarkEnd w:id="3"/>
      <w:r>
        <w:t>4. Cibles à 12 mois</w:t>
      </w:r>
    </w:p>
    <w:p w:rsidR="00503606" w:rsidRDefault="00275E7E">
      <w:pPr>
        <w:pStyle w:val="FirstParagraph"/>
      </w:pPr>
      <w:r>
        <w:t xml:space="preserve">Priorités : </w:t>
      </w:r>
      <w:r>
        <w:rPr>
          <w:b/>
          <w:bCs/>
        </w:rPr>
        <w:t>urge</w:t>
      </w:r>
      <w:r>
        <w:rPr>
          <w:b/>
          <w:bCs/>
        </w:rPr>
        <w:t>nte</w:t>
      </w:r>
      <w:r>
        <w:t xml:space="preserve"> pour Data Governance (2 → 4) et Compliance (3 → 4) ; </w:t>
      </w:r>
      <w:r>
        <w:rPr>
          <w:b/>
          <w:bCs/>
        </w:rPr>
        <w:t>haute</w:t>
      </w:r>
      <w:r>
        <w:t xml:space="preserve"> pour Data Quality, Usage &amp; Accessibility et Data Literacy (3 → 4) ; </w:t>
      </w:r>
      <w:r>
        <w:rPr>
          <w:b/>
          <w:bCs/>
        </w:rPr>
        <w:t>moyenne</w:t>
      </w:r>
      <w:r>
        <w:t xml:space="preserve"> pour Data Integration ; </w:t>
      </w:r>
      <w:r>
        <w:rPr>
          <w:b/>
          <w:bCs/>
        </w:rPr>
        <w:t>maintenir</w:t>
      </w:r>
      <w:r>
        <w:t xml:space="preserve"> Architecture, Security et Analytics (avec audit des biais).</w:t>
      </w:r>
    </w:p>
    <w:p w:rsidR="00503606" w:rsidRDefault="00275E7E">
      <w:pPr>
        <w:pStyle w:val="Corpsdetexte"/>
      </w:pPr>
      <w:r>
        <w:rPr>
          <w:b/>
          <w:bCs/>
        </w:rPr>
        <w:t>Score cible : 4,2 / 5</w:t>
      </w:r>
      <w:r>
        <w:t xml:space="preserve"> </w:t>
      </w:r>
      <w:r>
        <w:t>(niveau « Proactive » consolidé). Les trois dimensions les plus urgentes — Governance, Compliance, Data Quality — structurent le framework (document de politique) et le plan d’implémentation.</w:t>
      </w:r>
    </w:p>
    <w:bookmarkEnd w:id="4"/>
    <w:sectPr w:rsidR="00503606" w:rsidSect="00275E7E">
      <w:headerReference w:type="even" r:id="rId8"/>
      <w:headerReference w:type="default" r:id="rId9"/>
      <w:footerReference w:type="even" r:id="rId10"/>
      <w:footerReference w:type="default" r:id="rId11"/>
      <w:headerReference w:type="first" r:id="rId12"/>
      <w:footerReference w:type="first" r:id="rId13"/>
      <w:footnotePr>
        <w:numRestart w:val="eachSect"/>
      </w:footnotePr>
      <w:pgSz w:w="12240" w:h="15840"/>
      <w:pgMar w:top="1021" w:right="1134" w:bottom="1021" w:left="1134"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5E7E" w:rsidRDefault="00275E7E" w:rsidP="00275E7E">
      <w:pPr>
        <w:spacing w:after="0"/>
      </w:pPr>
      <w:r>
        <w:separator/>
      </w:r>
    </w:p>
  </w:endnote>
  <w:endnote w:type="continuationSeparator" w:id="0">
    <w:p w:rsidR="00275E7E" w:rsidRDefault="00275E7E" w:rsidP="00275E7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5E7E" w:rsidRDefault="00275E7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5E7E" w:rsidRPr="00275E7E" w:rsidRDefault="00275E7E" w:rsidP="00275E7E">
    <w:pPr>
      <w:pStyle w:val="Pieddepage"/>
      <w:jc w:val="right"/>
      <w:rPr>
        <w:color w:val="8A8A8A"/>
        <w:sz w:val="16"/>
      </w:rPr>
    </w:pPr>
    <w:r w:rsidRPr="00275E7E">
      <w:rPr>
        <w:color w:val="8A8A8A"/>
        <w:sz w:val="16"/>
      </w:rPr>
      <w:t xml:space="preserve">Spotify — Data Governance · Emeline ROBLOT · Septembre 2026 · Page </w:t>
    </w:r>
    <w:r>
      <w:rPr>
        <w:color w:val="8A8A8A"/>
        <w:sz w:val="16"/>
      </w:rPr>
      <w:fldChar w:fldCharType="begin"/>
    </w:r>
    <w:r>
      <w:rPr>
        <w:color w:val="8A8A8A"/>
        <w:sz w:val="16"/>
      </w:rPr>
      <w:instrText xml:space="preserve"> PAGE  \* MERGEFORMAT </w:instrText>
    </w:r>
    <w:r>
      <w:rPr>
        <w:color w:val="8A8A8A"/>
        <w:sz w:val="16"/>
      </w:rPr>
      <w:fldChar w:fldCharType="separate"/>
    </w:r>
    <w:r>
      <w:rPr>
        <w:noProof/>
        <w:color w:val="8A8A8A"/>
        <w:sz w:val="16"/>
      </w:rPr>
      <w:t>2</w:t>
    </w:r>
    <w:r>
      <w:rPr>
        <w:color w:val="8A8A8A"/>
        <w:sz w:val="16"/>
      </w:rPr>
      <w:fldChar w:fldCharType="end"/>
    </w:r>
    <w:r>
      <w:rPr>
        <w:color w:val="8A8A8A"/>
        <w:sz w:val="16"/>
      </w:rPr>
      <w:t xml:space="preserve"> / </w:t>
    </w:r>
    <w:r>
      <w:rPr>
        <w:color w:val="8A8A8A"/>
        <w:sz w:val="16"/>
      </w:rPr>
      <w:fldChar w:fldCharType="begin"/>
    </w:r>
    <w:r>
      <w:rPr>
        <w:color w:val="8A8A8A"/>
        <w:sz w:val="16"/>
      </w:rPr>
      <w:instrText xml:space="preserve"> NUMPAGES  \* MERGEFORMAT </w:instrText>
    </w:r>
    <w:r>
      <w:rPr>
        <w:color w:val="8A8A8A"/>
        <w:sz w:val="16"/>
      </w:rPr>
      <w:fldChar w:fldCharType="separate"/>
    </w:r>
    <w:r>
      <w:rPr>
        <w:noProof/>
        <w:color w:val="8A8A8A"/>
        <w:sz w:val="16"/>
      </w:rPr>
      <w:t>2</w:t>
    </w:r>
    <w:r>
      <w:rPr>
        <w:color w:val="8A8A8A"/>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5E7E" w:rsidRDefault="00275E7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5E7E" w:rsidRDefault="00275E7E" w:rsidP="00275E7E">
      <w:pPr>
        <w:spacing w:after="0"/>
      </w:pPr>
      <w:r>
        <w:separator/>
      </w:r>
    </w:p>
  </w:footnote>
  <w:footnote w:type="continuationSeparator" w:id="0">
    <w:p w:rsidR="00275E7E" w:rsidRDefault="00275E7E" w:rsidP="00275E7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5E7E" w:rsidRDefault="00275E7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5E7E" w:rsidRDefault="00275E7E">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5E7E" w:rsidRDefault="00275E7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8EDE792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2"/>
  </w:compat>
  <w:rsids>
    <w:rsidRoot w:val="00503606"/>
    <w:rsid w:val="00275E7E"/>
    <w:rsid w:val="005036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5315F70C-9FC3-4FF9-BBD6-5693E091C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80"/>
    </w:pPr>
    <w:rPr>
      <w:rFonts w:ascii="Calibri" w:hAnsi="Calibri" w:cs="Calibri"/>
      <w:sz w:val="20"/>
    </w:rPr>
  </w:style>
  <w:style w:type="paragraph" w:styleId="Titre1">
    <w:name w:val="heading 1"/>
    <w:basedOn w:val="Normal"/>
    <w:next w:val="Corpsdetexte"/>
    <w:link w:val="Titre1Car"/>
    <w:uiPriority w:val="9"/>
    <w:qFormat/>
    <w:rsid w:val="00A10FD9"/>
    <w:pPr>
      <w:keepNext/>
      <w:keepLines/>
      <w:spacing w:before="160" w:after="60"/>
      <w:outlineLvl w:val="0"/>
    </w:pPr>
    <w:rPr>
      <w:rFonts w:eastAsiaTheme="majorEastAsia"/>
      <w:b/>
      <w:color w:val="1DB954"/>
      <w:sz w:val="32"/>
      <w:szCs w:val="40"/>
    </w:rPr>
  </w:style>
  <w:style w:type="paragraph" w:styleId="Titre2">
    <w:name w:val="heading 2"/>
    <w:basedOn w:val="Normal"/>
    <w:next w:val="Corpsdetexte"/>
    <w:link w:val="Titre2Car"/>
    <w:uiPriority w:val="9"/>
    <w:semiHidden/>
    <w:unhideWhenUsed/>
    <w:qFormat/>
    <w:rsid w:val="00A10FD9"/>
    <w:pPr>
      <w:keepNext/>
      <w:keepLines/>
      <w:spacing w:before="160" w:after="60"/>
      <w:outlineLvl w:val="1"/>
    </w:pPr>
    <w:rPr>
      <w:rFonts w:eastAsiaTheme="majorEastAsia"/>
      <w:b/>
      <w:color w:val="191414"/>
      <w:sz w:val="24"/>
      <w:szCs w:val="32"/>
    </w:rPr>
  </w:style>
  <w:style w:type="paragraph" w:styleId="Titre3">
    <w:name w:val="heading 3"/>
    <w:basedOn w:val="Normal"/>
    <w:next w:val="Corpsdetexte"/>
    <w:link w:val="Titre3Car"/>
    <w:uiPriority w:val="9"/>
    <w:semiHidden/>
    <w:unhideWhenUsed/>
    <w:qFormat/>
    <w:rsid w:val="00A10FD9"/>
    <w:pPr>
      <w:keepNext/>
      <w:keepLines/>
      <w:spacing w:before="160" w:after="60"/>
      <w:outlineLvl w:val="2"/>
    </w:pPr>
    <w:rPr>
      <w:rFonts w:eastAsiaTheme="majorEastAsia"/>
      <w:b/>
      <w:color w:val="191414"/>
      <w:sz w:val="22"/>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60"/>
      <w:contextualSpacing/>
      <w:jc w:val="center"/>
    </w:pPr>
    <w:rPr>
      <w:rFonts w:eastAsiaTheme="majorEastAsia"/>
      <w:b/>
      <w:color w:val="1DB954"/>
      <w:sz w:val="40"/>
      <w:szCs w:val="56"/>
    </w:rPr>
  </w:style>
  <w:style w:type="character" w:customStyle="1" w:styleId="TitreCar">
    <w:name w:val="Titre Car"/>
    <w:basedOn w:val="Policepardfaut"/>
    <w:link w:val="Titre"/>
    <w:uiPriority w:val="10"/>
    <w:rsid w:val="00A10FD9"/>
    <w:rPr>
      <w:rFonts w:ascii="Calibri" w:eastAsiaTheme="majorEastAsia" w:hAnsi="Calibri" w:cs="Calibri"/>
      <w:b/>
      <w:color w:val="1DB954"/>
      <w:sz w:val="40"/>
      <w:szCs w:val="56"/>
    </w:rPr>
  </w:style>
  <w:style w:type="paragraph" w:styleId="Sous-titre">
    <w:name w:val="Subtitle"/>
    <w:basedOn w:val="Titre"/>
    <w:next w:val="Corpsdetexte"/>
    <w:link w:val="Sous-titreCar"/>
    <w:uiPriority w:val="11"/>
    <w:qFormat/>
    <w:rsid w:val="00A10FD9"/>
    <w:pPr>
      <w:numPr>
        <w:ilvl w:val="1"/>
      </w:numPr>
    </w:pPr>
    <w:rPr>
      <w:color w:val="8A8A8A"/>
      <w:spacing w:val="15"/>
      <w:sz w:val="24"/>
      <w:szCs w:val="28"/>
    </w:rPr>
  </w:style>
  <w:style w:type="character" w:customStyle="1" w:styleId="Sous-titreCar">
    <w:name w:val="Sous-titre Car"/>
    <w:basedOn w:val="Policepardfaut"/>
    <w:link w:val="Sous-titre"/>
    <w:uiPriority w:val="11"/>
    <w:rsid w:val="00A10FD9"/>
    <w:rPr>
      <w:rFonts w:ascii="Calibri" w:eastAsiaTheme="majorEastAsia" w:hAnsi="Calibri" w:cs="Calibri"/>
      <w:b/>
      <w:color w:val="8A8A8A"/>
      <w:spacing w:val="15"/>
      <w:szCs w:val="28"/>
    </w:rPr>
  </w:style>
  <w:style w:type="paragraph" w:customStyle="1" w:styleId="Author">
    <w:name w:val="Author"/>
    <w:basedOn w:val="Titre"/>
    <w:next w:val="Corpsdetexte"/>
    <w:qFormat/>
    <w:pPr>
      <w:keepNext/>
      <w:keepLines/>
      <w:spacing w:after="40"/>
    </w:pPr>
    <w:rPr>
      <w:color w:val="8A8A8A"/>
      <w:sz w:val="20"/>
      <w:szCs w:val="24"/>
    </w:rPr>
  </w:style>
  <w:style w:type="paragraph" w:styleId="Date">
    <w:name w:val="Date"/>
    <w:basedOn w:val="Titre"/>
    <w:next w:val="Corpsdetexte"/>
    <w:qFormat/>
    <w:pPr>
      <w:keepNext/>
      <w:keepLines/>
      <w:spacing w:after="40"/>
    </w:pPr>
    <w:rPr>
      <w:color w:val="8A8A8A"/>
      <w:sz w:val="20"/>
      <w:szCs w:val="24"/>
    </w:rPr>
  </w:style>
  <w:style w:type="paragraph" w:customStyle="1" w:styleId="AbstractTitle">
    <w:name w:val="Abstract Title"/>
    <w:basedOn w:val="Normal"/>
    <w:next w:val="Abstract"/>
    <w:qFormat/>
    <w:pPr>
      <w:keepNext/>
      <w:keepLines/>
      <w:spacing w:before="300" w:after="0"/>
      <w:jc w:val="center"/>
    </w:pPr>
    <w:rPr>
      <w:b/>
      <w:szCs w:val="20"/>
    </w:rPr>
  </w:style>
  <w:style w:type="paragraph" w:customStyle="1" w:styleId="Abstract">
    <w:name w:val="Abstract"/>
    <w:basedOn w:val="Normal"/>
    <w:next w:val="Corpsdetexte"/>
    <w:qFormat/>
    <w:pPr>
      <w:keepNext/>
      <w:keepLines/>
      <w:spacing w:before="100" w:after="300"/>
    </w:pPr>
    <w:rPr>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Calibri" w:eastAsiaTheme="majorEastAsia" w:hAnsi="Calibri" w:cs="Calibri"/>
      <w:b/>
      <w:color w:val="1DB954"/>
      <w:sz w:val="32"/>
      <w:szCs w:val="40"/>
    </w:rPr>
  </w:style>
  <w:style w:type="character" w:customStyle="1" w:styleId="Titre2Car">
    <w:name w:val="Titre 2 Car"/>
    <w:basedOn w:val="Policepardfaut"/>
    <w:link w:val="Titre2"/>
    <w:uiPriority w:val="9"/>
    <w:semiHidden/>
    <w:rsid w:val="00A10FD9"/>
    <w:rPr>
      <w:rFonts w:ascii="Calibri" w:eastAsiaTheme="majorEastAsia" w:hAnsi="Calibri" w:cs="Calibri"/>
      <w:b/>
      <w:color w:val="191414"/>
      <w:szCs w:val="32"/>
    </w:rPr>
  </w:style>
  <w:style w:type="character" w:customStyle="1" w:styleId="Titre3Car">
    <w:name w:val="Titre 3 Car"/>
    <w:basedOn w:val="Policepardfaut"/>
    <w:link w:val="Titre3"/>
    <w:uiPriority w:val="9"/>
    <w:semiHidden/>
    <w:rsid w:val="00A10FD9"/>
    <w:rPr>
      <w:rFonts w:ascii="Calibri" w:eastAsiaTheme="majorEastAsia" w:hAnsi="Calibri" w:cs="Calibri"/>
      <w:b/>
      <w:color w:val="191414"/>
      <w:sz w:val="22"/>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rPr>
      <w:rFonts w:asciiTheme="majorHAnsi" w:hAnsiTheme="majorHAnsi" w:cstheme="majorBid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tte">
    <w:name w:val="header"/>
    <w:basedOn w:val="Normal"/>
    <w:link w:val="En-tteCar"/>
    <w:unhideWhenUsed/>
    <w:rsid w:val="00275E7E"/>
    <w:pPr>
      <w:tabs>
        <w:tab w:val="center" w:pos="4536"/>
        <w:tab w:val="right" w:pos="9072"/>
      </w:tabs>
      <w:spacing w:after="0"/>
    </w:pPr>
  </w:style>
  <w:style w:type="character" w:customStyle="1" w:styleId="En-tteCar">
    <w:name w:val="En-tête Car"/>
    <w:basedOn w:val="Policepardfaut"/>
    <w:link w:val="En-tte"/>
    <w:rsid w:val="00275E7E"/>
    <w:rPr>
      <w:rFonts w:ascii="Calibri" w:hAnsi="Calibri" w:cs="Calibri"/>
      <w:sz w:val="20"/>
    </w:rPr>
  </w:style>
  <w:style w:type="paragraph" w:styleId="Pieddepage">
    <w:name w:val="footer"/>
    <w:basedOn w:val="Normal"/>
    <w:link w:val="PieddepageCar"/>
    <w:unhideWhenUsed/>
    <w:rsid w:val="00275E7E"/>
    <w:pPr>
      <w:tabs>
        <w:tab w:val="center" w:pos="4536"/>
        <w:tab w:val="right" w:pos="9072"/>
      </w:tabs>
      <w:spacing w:after="0"/>
    </w:pPr>
  </w:style>
  <w:style w:type="character" w:customStyle="1" w:styleId="PieddepageCar">
    <w:name w:val="Pied de page Car"/>
    <w:basedOn w:val="Policepardfaut"/>
    <w:link w:val="Pieddepage"/>
    <w:rsid w:val="00275E7E"/>
    <w:rPr>
      <w:rFonts w:ascii="Calibri" w:hAnsi="Calibri" w:cs="Calibr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869</Words>
  <Characters>5046</Characters>
  <Application>Microsoft Office Word</Application>
  <DocSecurity>0</DocSecurity>
  <Lines>150</Lines>
  <Paragraphs>79</Paragraphs>
  <ScaleCrop>false</ScaleCrop>
  <Company/>
  <LinksUpToDate>false</LinksUpToDate>
  <CharactersWithSpaces>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Maturity Assessment — Spotify</dc:title>
  <dc:creator>Emeline ROBLOT — Data Governance Specialist</dc:creator>
  <cp:keywords/>
  <cp:lastModifiedBy>Emeline</cp:lastModifiedBy>
  <cp:revision>2</cp:revision>
  <dcterms:created xsi:type="dcterms:W3CDTF">2026-09-19T07:29:00Z</dcterms:created>
  <dcterms:modified xsi:type="dcterms:W3CDTF">2026-09-19T07:29:00Z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Septembre 2026</vt:lpwstr>
  </property>
  <property fmtid="{D5CDD505-2E9C-101B-9397-08002B2CF9AE}" pid="3" name="subtitle">
    <vt:lpwstr>Rapport d’évaluation de la maturité data et des challenges de gouvernance</vt:lpwstr>
  </property>
</Properties>
</file>