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BEDA0" w14:textId="77777777" w:rsidR="007F2022" w:rsidRDefault="007F2022" w:rsidP="007F2022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Does the UB model deprecate the Cosmological Principle?</w:t>
      </w:r>
    </w:p>
    <w:p w14:paraId="10B81282" w14:textId="77777777" w:rsidR="007F2022" w:rsidRDefault="007F2022" w:rsidP="007F202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Urantia Book (UB) cosmology presents a framework that fundamentally reinterprets—and in key aspects challenges—the standard </w:t>
      </w:r>
      <w:r>
        <w:rPr>
          <w:rFonts w:ascii="inter" w:eastAsia="inter" w:hAnsi="inter" w:cs="inter"/>
          <w:b/>
          <w:color w:val="000000"/>
        </w:rPr>
        <w:t>Cosmological Principle</w:t>
      </w:r>
      <w:r>
        <w:rPr>
          <w:rFonts w:ascii="inter" w:eastAsia="inter" w:hAnsi="inter" w:cs="inter"/>
          <w:color w:val="000000"/>
        </w:rPr>
        <w:t xml:space="preserve"> (CP), which posits large-scale universe homogeneity and isotropy. Below is an analysis of their relationship:</w:t>
      </w:r>
    </w:p>
    <w:p w14:paraId="00AAB09D" w14:textId="6A3F1D3B" w:rsidR="007F2022" w:rsidRDefault="007F2022" w:rsidP="007F2022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152566E5" wp14:editId="51775685">
                <wp:extent cx="6038850" cy="635"/>
                <wp:effectExtent l="9525" t="13970" r="9525" b="13970"/>
                <wp:docPr id="8969472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EF328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F463108" w14:textId="77777777" w:rsidR="007F2022" w:rsidRDefault="007F2022" w:rsidP="007F2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Differences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17"/>
        <w:gridCol w:w="2973"/>
        <w:gridCol w:w="5000"/>
      </w:tblGrid>
      <w:tr w:rsidR="007F2022" w14:paraId="2D7967F8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D3CA03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Aspect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9ACB9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Cosmological Principle (Scientific)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63E5F2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UB Cosmology</w:t>
            </w:r>
          </w:p>
        </w:tc>
      </w:tr>
      <w:tr w:rsidR="007F2022" w14:paraId="48F65F14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966F3C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Structure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3617FB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Homogeneous, isotropic universe at large scales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42C118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Hierarchical architecture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with Paradise as 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fixed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center, surrounded by rotating space levels</w:t>
            </w:r>
          </w:p>
        </w:tc>
      </w:tr>
      <w:tr w:rsidR="007F2022" w14:paraId="4641BBB4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A664C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Central Reference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2337E4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preferred location or center (relativity-compliant)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240E35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Paradise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as absolute material and gravitational center (11:7.1, 105:3.4)</w:t>
            </w:r>
            <w:hyperlink w:anchor="fn2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[22]</w:t>
              </w:r>
            </w:hyperlink>
            <w:hyperlink w:anchor="fn2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7F2022" w14:paraId="0129EE2B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CAC7EC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Matter Distribution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649948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Uniform density across cosmic scales (ΛCDM model)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590BE3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Concentric zones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Havona, superuniverses, outer space levels with distinct properties</w:t>
            </w:r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  <w:hyperlink w:anchor="fn2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7F2022" w14:paraId="6161739D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A28DE9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Temporal Framework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AF684" w14:textId="77777777" w:rsidR="007F2022" w:rsidRDefault="007F2022" w:rsidP="002679D3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Universe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evolves uniformly under natural laws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400737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Divine intervention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and cyclic space respiration (expansion/contraction)</w:t>
            </w:r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7F2022" w14:paraId="0CFD978D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9D356F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Energy Origins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17D6A4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Big Bang singularity or quantum fluctuations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921A08" w14:textId="77777777" w:rsidR="007F2022" w:rsidRDefault="007F2022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Paradise-centric creation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Continuous energy flow from "nonmaterial" sources</w:t>
            </w:r>
            <w:hyperlink w:anchor="fn2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[25]</w:t>
              </w:r>
            </w:hyperlink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</w:tbl>
    <w:p w14:paraId="77ABAC66" w14:textId="77777777" w:rsidR="007F2022" w:rsidRDefault="007F2022" w:rsidP="007F2022"/>
    <w:p w14:paraId="1001BD65" w14:textId="025770A0" w:rsidR="007F2022" w:rsidRDefault="007F2022" w:rsidP="007F2022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6E92506" wp14:editId="6B284121">
                <wp:extent cx="6038850" cy="635"/>
                <wp:effectExtent l="9525" t="13970" r="9525" b="13970"/>
                <wp:docPr id="19511158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2A864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DCB7461" w14:textId="77777777" w:rsidR="007F2022" w:rsidRDefault="007F2022" w:rsidP="007F2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Points of Divergence</w:t>
      </w:r>
    </w:p>
    <w:p w14:paraId="713C78EA" w14:textId="77777777" w:rsidR="007F2022" w:rsidRDefault="007F2022" w:rsidP="007F2022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Paradise as Cosmic Center</w:t>
      </w:r>
      <w:r>
        <w:rPr>
          <w:rFonts w:ascii="inter" w:eastAsia="inter" w:hAnsi="inter" w:cs="inter"/>
          <w:color w:val="000000"/>
        </w:rPr>
        <w:br/>
        <w:t xml:space="preserve">The UB explicitly identifies Paradise as the universe’s </w:t>
      </w:r>
      <w:r>
        <w:rPr>
          <w:rFonts w:ascii="inter" w:eastAsia="inter" w:hAnsi="inter" w:cs="inter"/>
          <w:b/>
          <w:color w:val="000000"/>
        </w:rPr>
        <w:t>immovable center</w:t>
      </w:r>
      <w:r>
        <w:rPr>
          <w:rFonts w:ascii="inter" w:eastAsia="inter" w:hAnsi="inter" w:cs="inter"/>
          <w:color w:val="000000"/>
        </w:rPr>
        <w:t xml:space="preserve"> ("Nuclear Isle of Light")</w:t>
      </w:r>
      <w:bookmarkStart w:id="0" w:name="fnref22:1"/>
      <w:bookmarkEnd w:id="0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1" w:name="fnref23:2"/>
      <w:bookmarkEnd w:id="1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  <w:r>
        <w:rPr>
          <w:rFonts w:ascii="inter" w:eastAsia="inter" w:hAnsi="inter" w:cs="inter"/>
          <w:color w:val="000000"/>
        </w:rPr>
        <w:t>, directly contradicting the CP’s assumption of no privileged location. This fixed reference frame enables:</w:t>
      </w:r>
    </w:p>
    <w:p w14:paraId="37F79462" w14:textId="77777777" w:rsidR="007F2022" w:rsidRDefault="007F2022" w:rsidP="007F202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Absolute directional orientation (upward toward Paradise, outward into space)</w:t>
      </w:r>
    </w:p>
    <w:p w14:paraId="30043251" w14:textId="77777777" w:rsidR="007F2022" w:rsidRDefault="007F2022" w:rsidP="007F202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Gravitational dominance over superuniverses via "absolute gravity"</w:t>
      </w:r>
      <w:bookmarkStart w:id="2" w:name="fnref24:3"/>
      <w:bookmarkEnd w:id="2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</w:p>
    <w:p w14:paraId="2C0B288A" w14:textId="77777777" w:rsidR="007F2022" w:rsidRDefault="007F2022" w:rsidP="007F2022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Non-Uniform Space Levels</w:t>
      </w:r>
      <w:r>
        <w:rPr>
          <w:rFonts w:ascii="inter" w:eastAsia="inter" w:hAnsi="inter" w:cs="inter"/>
          <w:color w:val="000000"/>
        </w:rPr>
        <w:br/>
        <w:t>UB describes seven superuniverses and outer space levels with distinct rotational dynamics and material properties:</w:t>
      </w:r>
    </w:p>
    <w:p w14:paraId="431F0B2D" w14:textId="77777777" w:rsidR="007F2022" w:rsidRDefault="007F2022" w:rsidP="007F202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Semi-quiet zones (SQ)</w:t>
      </w:r>
      <w:r>
        <w:rPr>
          <w:rFonts w:ascii="inter" w:eastAsia="inter" w:hAnsi="inter" w:cs="inter"/>
          <w:color w:val="000000"/>
        </w:rPr>
        <w:t>: Transitional regions with reduced matter density (even absent cosmic dust)</w:t>
      </w:r>
    </w:p>
    <w:p w14:paraId="18FC9D69" w14:textId="77777777" w:rsidR="007F2022" w:rsidRDefault="007F2022" w:rsidP="007F202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Counter-rotation</w:t>
      </w:r>
      <w:r>
        <w:rPr>
          <w:rFonts w:ascii="inter" w:eastAsia="inter" w:hAnsi="inter" w:cs="inter"/>
          <w:color w:val="000000"/>
        </w:rPr>
        <w:t>: Adjacent space levels orbit Paradise in opposite directions, creating shear stresses [user context]</w:t>
      </w:r>
      <w:r>
        <w:rPr>
          <w:rFonts w:ascii="inter" w:eastAsia="inter" w:hAnsi="inter" w:cs="inter"/>
          <w:color w:val="000000"/>
        </w:rPr>
        <w:br/>
        <w:t>This structured hierarchy violates the CP’s large-scale homogeneity.</w:t>
      </w:r>
    </w:p>
    <w:p w14:paraId="2E2F7360" w14:textId="77777777" w:rsidR="007F2022" w:rsidRDefault="007F2022" w:rsidP="007F2022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Divine Agency vs. Natural Law</w:t>
      </w:r>
      <w:r>
        <w:rPr>
          <w:rFonts w:ascii="inter" w:eastAsia="inter" w:hAnsi="inter" w:cs="inter"/>
          <w:color w:val="000000"/>
        </w:rPr>
        <w:br/>
        <w:t xml:space="preserve">The UB attributes cosmic order to </w:t>
      </w:r>
      <w:r>
        <w:rPr>
          <w:rFonts w:ascii="inter" w:eastAsia="inter" w:hAnsi="inter" w:cs="inter"/>
          <w:b/>
          <w:color w:val="000000"/>
        </w:rPr>
        <w:t>intentional design</w:t>
      </w:r>
      <w:r>
        <w:rPr>
          <w:rFonts w:ascii="inter" w:eastAsia="inter" w:hAnsi="inter" w:cs="inter"/>
          <w:color w:val="000000"/>
        </w:rPr>
        <w:t xml:space="preserve"> rather than emergent physical processes:</w:t>
      </w:r>
    </w:p>
    <w:p w14:paraId="6D6A067C" w14:textId="77777777" w:rsidR="007F2022" w:rsidRDefault="007F2022" w:rsidP="007F202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"God continuously creates new energy... leading to star/galaxy formation"</w:t>
      </w:r>
      <w:bookmarkStart w:id="3" w:name="fnref24:4"/>
      <w:bookmarkEnd w:id="3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</w:p>
    <w:p w14:paraId="1787B05F" w14:textId="77777777" w:rsidR="007F2022" w:rsidRDefault="007F2022" w:rsidP="007F202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"Universe administration" by celestial personalities (4:1.7)</w:t>
      </w:r>
      <w:r>
        <w:rPr>
          <w:rFonts w:ascii="inter" w:eastAsia="inter" w:hAnsi="inter" w:cs="inter"/>
          <w:color w:val="000000"/>
        </w:rPr>
        <w:br/>
        <w:t>This contrasts with the CP’s reliance on natural laws operating uniformly.</w:t>
      </w:r>
    </w:p>
    <w:p w14:paraId="4B85E096" w14:textId="24A29462" w:rsidR="007F2022" w:rsidRDefault="007F2022" w:rsidP="007F2022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493E3C1C" wp14:editId="13C5C1A5">
                <wp:extent cx="6038850" cy="635"/>
                <wp:effectExtent l="9525" t="12700" r="9525" b="15240"/>
                <wp:docPr id="4451022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961E7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6A05BD8C" w14:textId="77777777" w:rsidR="007F2022" w:rsidRDefault="007F2022" w:rsidP="007F2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Partial Alignments</w:t>
      </w:r>
    </w:p>
    <w:p w14:paraId="794582A4" w14:textId="77777777" w:rsidR="007F2022" w:rsidRDefault="007F2022" w:rsidP="007F202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Despite these differences, UB cosmology shares conceptual parallels with modern </w:t>
      </w:r>
      <w:r>
        <w:rPr>
          <w:rFonts w:ascii="inter" w:eastAsia="inter" w:hAnsi="inter" w:cs="inter"/>
          <w:b/>
          <w:color w:val="000000"/>
        </w:rPr>
        <w:t>multiverse theories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modified gravity models</w:t>
      </w:r>
      <w:r>
        <w:rPr>
          <w:rFonts w:ascii="inter" w:eastAsia="inter" w:hAnsi="inter" w:cs="inter"/>
          <w:color w:val="000000"/>
        </w:rPr>
        <w:t>:</w:t>
      </w:r>
    </w:p>
    <w:p w14:paraId="7AB1C529" w14:textId="77777777" w:rsidR="007F2022" w:rsidRDefault="007F2022" w:rsidP="007F2022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Cosmogenetic</w:t>
      </w:r>
      <w:proofErr w:type="spellEnd"/>
      <w:r>
        <w:rPr>
          <w:rFonts w:ascii="inter" w:eastAsia="inter" w:hAnsi="inter" w:cs="inter"/>
          <w:b/>
          <w:color w:val="000000"/>
        </w:rPr>
        <w:t xml:space="preserve"> Principle</w:t>
      </w:r>
      <w:r>
        <w:rPr>
          <w:rFonts w:ascii="inter" w:eastAsia="inter" w:hAnsi="inter" w:cs="inter"/>
          <w:color w:val="000000"/>
        </w:rPr>
        <w:t>: UB’s emphasis on evolutionary universe self-organization</w:t>
      </w:r>
      <w:bookmarkStart w:id="4" w:name="fnref26"/>
      <w:bookmarkEnd w:id="4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mirrors ΛCDM’s structure formation but adds divine teleology ("aim" toward perfection)</w:t>
      </w:r>
      <w:bookmarkStart w:id="5" w:name="fnref26:1"/>
      <w:bookmarkEnd w:id="5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6" w:name="fnref24:5"/>
      <w:bookmarkEnd w:id="6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0E5B234" w14:textId="77777777" w:rsidR="007F2022" w:rsidRDefault="007F2022" w:rsidP="007F202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Modified Entropy</w:t>
      </w:r>
      <w:r>
        <w:rPr>
          <w:rFonts w:ascii="inter" w:eastAsia="inter" w:hAnsi="inter" w:cs="inter"/>
          <w:color w:val="000000"/>
        </w:rPr>
        <w:t>: UB acknowledges entropy (2nd Law) but introduces negentropic processes via Paradise-derived energy renewal</w:t>
      </w:r>
      <w:bookmarkStart w:id="7" w:name="fnref26:2"/>
      <w:bookmarkEnd w:id="7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8" w:name="fnref24:6"/>
      <w:bookmarkEnd w:id="8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6F2358D" w14:textId="6C5F5F9F" w:rsidR="007F2022" w:rsidRDefault="007F2022" w:rsidP="007F2022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7394CB58" wp14:editId="7F6BF9E9">
                <wp:extent cx="6038850" cy="635"/>
                <wp:effectExtent l="9525" t="9525" r="9525" b="8890"/>
                <wp:docPr id="9093254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854B7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4FD5910" w14:textId="77777777" w:rsidR="007F2022" w:rsidRDefault="007F2022" w:rsidP="007F2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Empirical Tensions</w:t>
      </w:r>
    </w:p>
    <w:p w14:paraId="264E7170" w14:textId="77777777" w:rsidR="007F2022" w:rsidRDefault="007F2022" w:rsidP="007F2022">
      <w:pPr>
        <w:spacing w:after="210" w:line="360" w:lineRule="auto"/>
      </w:pPr>
      <w:r>
        <w:rPr>
          <w:rFonts w:ascii="inter" w:eastAsia="inter" w:hAnsi="inter" w:cs="inter"/>
          <w:color w:val="000000"/>
        </w:rPr>
        <w:t>Modern observations challenging UB’s model include:</w:t>
      </w:r>
    </w:p>
    <w:p w14:paraId="2A629920" w14:textId="77777777" w:rsidR="007F2022" w:rsidRDefault="007F2022" w:rsidP="007F202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CMB Isotropy</w:t>
      </w:r>
      <w:r>
        <w:rPr>
          <w:rFonts w:ascii="inter" w:eastAsia="inter" w:hAnsi="inter" w:cs="inter"/>
          <w:color w:val="000000"/>
        </w:rPr>
        <w:t>: Planck satellite data shows 1:100,000 uniformity in cosmic microwave background</w:t>
      </w:r>
      <w:bookmarkStart w:id="9" w:name="fnref27"/>
      <w:bookmarkEnd w:id="9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, inconsistent with UB’s structured superuniverses.</w:t>
      </w:r>
    </w:p>
    <w:p w14:paraId="23992663" w14:textId="77777777" w:rsidR="007F2022" w:rsidRDefault="007F2022" w:rsidP="007F202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Dark Flow Anomalies</w:t>
      </w:r>
      <w:r>
        <w:rPr>
          <w:rFonts w:ascii="inter" w:eastAsia="inter" w:hAnsi="inter" w:cs="inter"/>
          <w:color w:val="000000"/>
        </w:rPr>
        <w:t>: Bulk galaxy motions (e.g., toward the Great Attractor) align better with CP-based models than Paradise-centric pull</w:t>
      </w:r>
      <w:bookmarkStart w:id="10" w:name="fnref27:1"/>
      <w:bookmarkEnd w:id="10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5625B90" w14:textId="77777777" w:rsidR="007F2022" w:rsidRDefault="007F2022" w:rsidP="007F202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Absence of Rotational Shear</w:t>
      </w:r>
      <w:r>
        <w:rPr>
          <w:rFonts w:ascii="inter" w:eastAsia="inter" w:hAnsi="inter" w:cs="inter"/>
          <w:color w:val="000000"/>
        </w:rPr>
        <w:t>: Large-scale galaxy surveys show no evidence of counter-rotating cosmic sectors implied by UB space levels</w:t>
      </w:r>
      <w:bookmarkStart w:id="11" w:name="fnref27:2"/>
      <w:bookmarkEnd w:id="11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95F749C" w14:textId="1E781865" w:rsidR="007F2022" w:rsidRDefault="007F2022" w:rsidP="007F2022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2E49F29F" wp14:editId="4AA7B283">
                <wp:extent cx="6038850" cy="635"/>
                <wp:effectExtent l="9525" t="14605" r="9525" b="13335"/>
                <wp:docPr id="15512911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9ECFF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E096196" w14:textId="77777777" w:rsidR="007F2022" w:rsidRDefault="007F2022" w:rsidP="007F202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18F173F6" w14:textId="77777777" w:rsidR="007F2022" w:rsidRDefault="007F2022" w:rsidP="007F202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UB cosmology </w:t>
      </w:r>
      <w:r>
        <w:rPr>
          <w:rFonts w:ascii="inter" w:eastAsia="inter" w:hAnsi="inter" w:cs="inter"/>
          <w:b/>
          <w:color w:val="000000"/>
        </w:rPr>
        <w:t>deprecates the Cosmological Principle</w:t>
      </w:r>
      <w:r>
        <w:rPr>
          <w:rFonts w:ascii="inter" w:eastAsia="inter" w:hAnsi="inter" w:cs="inter"/>
          <w:color w:val="000000"/>
        </w:rPr>
        <w:t xml:space="preserve"> by:</w:t>
      </w:r>
    </w:p>
    <w:p w14:paraId="01FA6E40" w14:textId="77777777" w:rsidR="007F2022" w:rsidRDefault="007F2022" w:rsidP="007F202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Introducing an absolute center and non-uniform spatial hierarchy</w:t>
      </w:r>
    </w:p>
    <w:p w14:paraId="7F644478" w14:textId="77777777" w:rsidR="007F2022" w:rsidRDefault="007F2022" w:rsidP="007F202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Replacing natural uniformity with divine orchestration</w:t>
      </w:r>
    </w:p>
    <w:p w14:paraId="44A3AAC7" w14:textId="77777777" w:rsidR="007F2022" w:rsidRDefault="007F2022" w:rsidP="007F202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Postulating rotational dynamics absent in ΛCDM</w:t>
      </w:r>
    </w:p>
    <w:p w14:paraId="55DB7686" w14:textId="77777777" w:rsidR="007F2022" w:rsidRDefault="007F2022" w:rsidP="007F2022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However, it extends beyond CP’s scope by integrating </w:t>
      </w:r>
      <w:r>
        <w:rPr>
          <w:rFonts w:ascii="inter" w:eastAsia="inter" w:hAnsi="inter" w:cs="inter"/>
          <w:b/>
          <w:color w:val="000000"/>
        </w:rPr>
        <w:t>spiritual dimensions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intentional design</w:t>
      </w:r>
      <w:r>
        <w:rPr>
          <w:rFonts w:ascii="inter" w:eastAsia="inter" w:hAnsi="inter" w:cs="inter"/>
          <w:color w:val="000000"/>
        </w:rPr>
        <w:t>, offering a teleological framework where "energy, matter, and spirit are divinely correlated"</w:t>
      </w:r>
      <w:bookmarkStart w:id="12" w:name="fnref26:3"/>
      <w:bookmarkEnd w:id="12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 While incompatible with modern astrophysical consensus, UB’s model provides a metaphysically rich alternative that recontextualizes CP’s assumptions within a revelatory paradigm. Future discussions could explore hybrid models incorporating CP’s observational strengths with UB’s structural insights.</w:t>
      </w:r>
    </w:p>
    <w:p w14:paraId="2F66663B" w14:textId="77777777" w:rsidR="000E0D3B" w:rsidRDefault="000E0D3B"/>
    <w:sectPr w:rsidR="000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081B"/>
    <w:multiLevelType w:val="hybridMultilevel"/>
    <w:tmpl w:val="2A2E9520"/>
    <w:lvl w:ilvl="0" w:tplc="96722C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D2ADDF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23A2D86">
      <w:numFmt w:val="decimal"/>
      <w:lvlText w:val=""/>
      <w:lvlJc w:val="left"/>
    </w:lvl>
    <w:lvl w:ilvl="3" w:tplc="C8249AD6">
      <w:numFmt w:val="decimal"/>
      <w:lvlText w:val=""/>
      <w:lvlJc w:val="left"/>
    </w:lvl>
    <w:lvl w:ilvl="4" w:tplc="854EAA56">
      <w:numFmt w:val="decimal"/>
      <w:lvlText w:val=""/>
      <w:lvlJc w:val="left"/>
    </w:lvl>
    <w:lvl w:ilvl="5" w:tplc="4F84ED60">
      <w:numFmt w:val="decimal"/>
      <w:lvlText w:val=""/>
      <w:lvlJc w:val="left"/>
    </w:lvl>
    <w:lvl w:ilvl="6" w:tplc="180CECD8">
      <w:numFmt w:val="decimal"/>
      <w:lvlText w:val=""/>
      <w:lvlJc w:val="left"/>
    </w:lvl>
    <w:lvl w:ilvl="7" w:tplc="D4F2D964">
      <w:numFmt w:val="decimal"/>
      <w:lvlText w:val=""/>
      <w:lvlJc w:val="left"/>
    </w:lvl>
    <w:lvl w:ilvl="8" w:tplc="743A5212">
      <w:numFmt w:val="decimal"/>
      <w:lvlText w:val=""/>
      <w:lvlJc w:val="left"/>
    </w:lvl>
  </w:abstractNum>
  <w:abstractNum w:abstractNumId="1" w15:restartNumberingAfterBreak="0">
    <w:nsid w:val="2B7D08A7"/>
    <w:multiLevelType w:val="hybridMultilevel"/>
    <w:tmpl w:val="626A00F4"/>
    <w:lvl w:ilvl="0" w:tplc="E4900A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062410">
      <w:numFmt w:val="decimal"/>
      <w:lvlText w:val=""/>
      <w:lvlJc w:val="left"/>
    </w:lvl>
    <w:lvl w:ilvl="2" w:tplc="DFAEBBB2">
      <w:numFmt w:val="decimal"/>
      <w:lvlText w:val=""/>
      <w:lvlJc w:val="left"/>
    </w:lvl>
    <w:lvl w:ilvl="3" w:tplc="14A69188">
      <w:numFmt w:val="decimal"/>
      <w:lvlText w:val=""/>
      <w:lvlJc w:val="left"/>
    </w:lvl>
    <w:lvl w:ilvl="4" w:tplc="9AF4EC28">
      <w:numFmt w:val="decimal"/>
      <w:lvlText w:val=""/>
      <w:lvlJc w:val="left"/>
    </w:lvl>
    <w:lvl w:ilvl="5" w:tplc="42922D7C">
      <w:numFmt w:val="decimal"/>
      <w:lvlText w:val=""/>
      <w:lvlJc w:val="left"/>
    </w:lvl>
    <w:lvl w:ilvl="6" w:tplc="364E9AF0">
      <w:numFmt w:val="decimal"/>
      <w:lvlText w:val=""/>
      <w:lvlJc w:val="left"/>
    </w:lvl>
    <w:lvl w:ilvl="7" w:tplc="93C8D8F0">
      <w:numFmt w:val="decimal"/>
      <w:lvlText w:val=""/>
      <w:lvlJc w:val="left"/>
    </w:lvl>
    <w:lvl w:ilvl="8" w:tplc="FE4E8E5E">
      <w:numFmt w:val="decimal"/>
      <w:lvlText w:val=""/>
      <w:lvlJc w:val="left"/>
    </w:lvl>
  </w:abstractNum>
  <w:abstractNum w:abstractNumId="2" w15:restartNumberingAfterBreak="0">
    <w:nsid w:val="598D47A1"/>
    <w:multiLevelType w:val="hybridMultilevel"/>
    <w:tmpl w:val="3F9836C0"/>
    <w:lvl w:ilvl="0" w:tplc="B73859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B426AFA">
      <w:numFmt w:val="decimal"/>
      <w:lvlText w:val=""/>
      <w:lvlJc w:val="left"/>
    </w:lvl>
    <w:lvl w:ilvl="2" w:tplc="6A6C1794">
      <w:numFmt w:val="decimal"/>
      <w:lvlText w:val=""/>
      <w:lvlJc w:val="left"/>
    </w:lvl>
    <w:lvl w:ilvl="3" w:tplc="ECAE737C">
      <w:numFmt w:val="decimal"/>
      <w:lvlText w:val=""/>
      <w:lvlJc w:val="left"/>
    </w:lvl>
    <w:lvl w:ilvl="4" w:tplc="D706B9EE">
      <w:numFmt w:val="decimal"/>
      <w:lvlText w:val=""/>
      <w:lvlJc w:val="left"/>
    </w:lvl>
    <w:lvl w:ilvl="5" w:tplc="52DE6E26">
      <w:numFmt w:val="decimal"/>
      <w:lvlText w:val=""/>
      <w:lvlJc w:val="left"/>
    </w:lvl>
    <w:lvl w:ilvl="6" w:tplc="1AFEF6DA">
      <w:numFmt w:val="decimal"/>
      <w:lvlText w:val=""/>
      <w:lvlJc w:val="left"/>
    </w:lvl>
    <w:lvl w:ilvl="7" w:tplc="AAB2E128">
      <w:numFmt w:val="decimal"/>
      <w:lvlText w:val=""/>
      <w:lvlJc w:val="left"/>
    </w:lvl>
    <w:lvl w:ilvl="8" w:tplc="6478D8FC">
      <w:numFmt w:val="decimal"/>
      <w:lvlText w:val=""/>
      <w:lvlJc w:val="left"/>
    </w:lvl>
  </w:abstractNum>
  <w:abstractNum w:abstractNumId="3" w15:restartNumberingAfterBreak="0">
    <w:nsid w:val="72B14938"/>
    <w:multiLevelType w:val="hybridMultilevel"/>
    <w:tmpl w:val="7CAA2A88"/>
    <w:lvl w:ilvl="0" w:tplc="F9025D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2EA6FA">
      <w:numFmt w:val="decimal"/>
      <w:lvlText w:val=""/>
      <w:lvlJc w:val="left"/>
    </w:lvl>
    <w:lvl w:ilvl="2" w:tplc="6370575C">
      <w:numFmt w:val="decimal"/>
      <w:lvlText w:val=""/>
      <w:lvlJc w:val="left"/>
    </w:lvl>
    <w:lvl w:ilvl="3" w:tplc="FE72F40C">
      <w:numFmt w:val="decimal"/>
      <w:lvlText w:val=""/>
      <w:lvlJc w:val="left"/>
    </w:lvl>
    <w:lvl w:ilvl="4" w:tplc="3976CE06">
      <w:numFmt w:val="decimal"/>
      <w:lvlText w:val=""/>
      <w:lvlJc w:val="left"/>
    </w:lvl>
    <w:lvl w:ilvl="5" w:tplc="6E1ED2E8">
      <w:numFmt w:val="decimal"/>
      <w:lvlText w:val=""/>
      <w:lvlJc w:val="left"/>
    </w:lvl>
    <w:lvl w:ilvl="6" w:tplc="BE3A4C20">
      <w:numFmt w:val="decimal"/>
      <w:lvlText w:val=""/>
      <w:lvlJc w:val="left"/>
    </w:lvl>
    <w:lvl w:ilvl="7" w:tplc="FBFED4E4">
      <w:numFmt w:val="decimal"/>
      <w:lvlText w:val=""/>
      <w:lvlJc w:val="left"/>
    </w:lvl>
    <w:lvl w:ilvl="8" w:tplc="E99CCA6E">
      <w:numFmt w:val="decimal"/>
      <w:lvlText w:val=""/>
      <w:lvlJc w:val="left"/>
    </w:lvl>
  </w:abstractNum>
  <w:num w:numId="1" w16cid:durableId="21253299">
    <w:abstractNumId w:val="0"/>
  </w:num>
  <w:num w:numId="2" w16cid:durableId="34932655">
    <w:abstractNumId w:val="1"/>
  </w:num>
  <w:num w:numId="3" w16cid:durableId="1493372949">
    <w:abstractNumId w:val="2"/>
  </w:num>
  <w:num w:numId="4" w16cid:durableId="138760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xsrQ0NwayTC0tTJV0lIJTi4sz8/NACgxrAabKrFgsAAAA"/>
  </w:docVars>
  <w:rsids>
    <w:rsidRoot w:val="007F2022"/>
    <w:rsid w:val="00014258"/>
    <w:rsid w:val="000E0D3B"/>
    <w:rsid w:val="002531C3"/>
    <w:rsid w:val="002A3EA4"/>
    <w:rsid w:val="004476C7"/>
    <w:rsid w:val="004D3DCF"/>
    <w:rsid w:val="005A6C0C"/>
    <w:rsid w:val="007F2022"/>
    <w:rsid w:val="009379FC"/>
    <w:rsid w:val="00A701E7"/>
    <w:rsid w:val="00C33E9B"/>
    <w:rsid w:val="00E50266"/>
    <w:rsid w:val="00F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49D6E6"/>
  <w15:chartTrackingRefBased/>
  <w15:docId w15:val="{3345466D-EE45-4272-BF69-DA9988DF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22"/>
    <w:pPr>
      <w:spacing w:after="120" w:line="240" w:lineRule="atLeast"/>
    </w:pPr>
    <w:rPr>
      <w:rFonts w:ascii="Georgia" w:hAnsiTheme="minorHAnsi" w:cstheme="minorBidi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0266"/>
    <w:pPr>
      <w:widowControl w:val="0"/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ascii="Arial" w:eastAsia="Arial" w:hAnsi="Arial" w:cs="Arial"/>
      <w:b/>
      <w:color w:val="1F497D" w:themeColor="tex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022"/>
    <w:pPr>
      <w:keepNext/>
      <w:keepLines/>
      <w:spacing w:before="160" w:after="80"/>
      <w:outlineLvl w:val="2"/>
    </w:pPr>
    <w:rPr>
      <w:rFonts w:asciiTheme="minorHAnsi"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022"/>
    <w:pPr>
      <w:keepNext/>
      <w:keepLines/>
      <w:spacing w:before="80" w:after="40"/>
      <w:outlineLvl w:val="3"/>
    </w:pPr>
    <w:rPr>
      <w:rFonts w:asciiTheme="min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022"/>
    <w:pPr>
      <w:keepNext/>
      <w:keepLines/>
      <w:spacing w:before="80" w:after="40"/>
      <w:outlineLvl w:val="4"/>
    </w:pPr>
    <w:rPr>
      <w:rFonts w:asciiTheme="min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9FC"/>
    <w:pPr>
      <w:pBdr>
        <w:top w:val="nil"/>
        <w:left w:val="nil"/>
        <w:bottom w:val="nil"/>
        <w:right w:val="nil"/>
        <w:between w:val="nil"/>
      </w:pBdr>
      <w:outlineLvl w:val="5"/>
    </w:pPr>
    <w:rPr>
      <w:rFonts w:ascii="Roboto Mono" w:eastAsia="Roboto Mono" w:hAnsi="Roboto Mono" w:cs="Roboto Mono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022"/>
    <w:pPr>
      <w:keepNext/>
      <w:keepLines/>
      <w:spacing w:before="40"/>
      <w:outlineLvl w:val="6"/>
    </w:pPr>
    <w:rPr>
      <w:rFonts w:asci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22"/>
    <w:pPr>
      <w:keepNext/>
      <w:keepLines/>
      <w:outlineLvl w:val="7"/>
    </w:pPr>
    <w:rPr>
      <w:rFonts w:asci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22"/>
    <w:pPr>
      <w:keepNext/>
      <w:keepLines/>
      <w:outlineLvl w:val="8"/>
    </w:pPr>
    <w:rPr>
      <w:rFonts w:asciiTheme="minorHAnsi"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266"/>
    <w:rPr>
      <w:rFonts w:ascii="Arial" w:eastAsia="Arial" w:hAnsi="Arial" w:cs="Arial"/>
      <w:b/>
      <w:color w:val="1F497D" w:themeColor="text2"/>
      <w:kern w:val="0"/>
      <w:sz w:val="36"/>
      <w:szCs w:val="36"/>
      <w14:ligatures w14:val="none"/>
    </w:rPr>
  </w:style>
  <w:style w:type="paragraph" w:customStyle="1" w:styleId="Inquiry">
    <w:name w:val="Inquiry"/>
    <w:basedOn w:val="Normal"/>
    <w:autoRedefine/>
    <w:qFormat/>
    <w:rsid w:val="00E50266"/>
    <w:pPr>
      <w:spacing w:before="180" w:after="180"/>
    </w:pPr>
    <w:rPr>
      <w:sz w:val="28"/>
      <w:szCs w:val="24"/>
    </w:rPr>
  </w:style>
  <w:style w:type="character" w:styleId="IntenseReference">
    <w:name w:val="Intense Reference"/>
    <w:basedOn w:val="DefaultParagraphFont"/>
    <w:uiPriority w:val="32"/>
    <w:qFormat/>
    <w:rsid w:val="00E50266"/>
    <w:rPr>
      <w:b/>
      <w:bCs/>
      <w:smallCaps/>
      <w:color w:val="4F81BD" w:themeColor="accent1"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9379FC"/>
    <w:rPr>
      <w:rFonts w:ascii="Roboto Mono" w:eastAsia="Roboto Mono" w:hAnsi="Roboto Mono" w:cs="Roboto Mono"/>
      <w:b/>
      <w:bCs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20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022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02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02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0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022"/>
    <w:pPr>
      <w:numPr>
        <w:ilvl w:val="1"/>
      </w:numPr>
      <w:spacing w:after="160"/>
    </w:pPr>
    <w:rPr>
      <w:rFonts w:asci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0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0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0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022"/>
    <w:rPr>
      <w:i/>
      <w:iCs/>
      <w:color w:val="365F91" w:themeColor="accent1" w:themeShade="BF"/>
    </w:rPr>
  </w:style>
  <w:style w:type="table" w:customStyle="1" w:styleId="NormalGrid">
    <w:name w:val="Normal Grid"/>
    <w:basedOn w:val="TableNormal"/>
    <w:uiPriority w:val="39"/>
    <w:rsid w:val="007F2022"/>
    <w:rPr>
      <w:rFonts w:ascii="Georgia" w:hAnsiTheme="minorHAnsi" w:cstheme="minorBidi"/>
      <w:kern w:val="0"/>
      <w:sz w:val="21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3940</Characters>
  <Application>Microsoft Office Word</Application>
  <DocSecurity>0</DocSecurity>
  <Lines>77</Lines>
  <Paragraphs>43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Neufer</dc:creator>
  <cp:keywords/>
  <dc:description/>
  <cp:lastModifiedBy>David Neufer</cp:lastModifiedBy>
  <cp:revision>1</cp:revision>
  <dcterms:created xsi:type="dcterms:W3CDTF">2025-03-26T02:32:00Z</dcterms:created>
  <dcterms:modified xsi:type="dcterms:W3CDTF">2025-03-26T02:33:00Z</dcterms:modified>
</cp:coreProperties>
</file>