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B2C360" w14:textId="77777777" w:rsidR="00607549" w:rsidRPr="00607549" w:rsidRDefault="00607549" w:rsidP="006075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607549">
        <w:rPr>
          <w:rFonts w:ascii="Times New Roman" w:eastAsia="Times New Roman" w:hAnsi="Times New Roman" w:cs="Times New Roman"/>
          <w:b/>
          <w:bCs/>
          <w:kern w:val="36"/>
          <w:sz w:val="48"/>
          <w:szCs w:val="48"/>
          <w:lang w:eastAsia="es-MX"/>
          <w14:ligatures w14:val="none"/>
        </w:rPr>
        <w:t>La relación entre los procesos biológicos, cognitivos y conductuales en la regulación del comportamiento humano</w:t>
      </w:r>
    </w:p>
    <w:p w14:paraId="13FE3D61" w14:textId="77777777" w:rsidR="00607549" w:rsidRPr="00607549" w:rsidRDefault="00607549" w:rsidP="006075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7549">
        <w:rPr>
          <w:rFonts w:ascii="Times New Roman" w:eastAsia="Times New Roman" w:hAnsi="Times New Roman" w:cs="Times New Roman"/>
          <w:b/>
          <w:bCs/>
          <w:kern w:val="0"/>
          <w:sz w:val="36"/>
          <w:szCs w:val="36"/>
          <w:lang w:eastAsia="es-MX"/>
          <w14:ligatures w14:val="none"/>
        </w:rPr>
        <w:t>Introducción</w:t>
      </w:r>
    </w:p>
    <w:p w14:paraId="1B855D53"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El comportamiento humano no puede comprenderse únicamente desde lo social o lo psicológico, ya que también depende de procesos biológicos y cerebrales que regulan necesidades básicas, ritmos corporales y capacidades cognitivas. Desde la neurociencia del comportamiento, se entiende que acciones cotidianas como comer, dormir, prestar atención, recordar información o tomar decisiones están relacionadas con sistemas cerebrales complejos que permiten la adaptación del ser humano al ambiente.</w:t>
      </w:r>
    </w:p>
    <w:p w14:paraId="6659FDA3"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El objetivo de este ensayo es analizar la relación entre los procesos biológicos y cognitivos estudiados en el Módulo 2, específicamente la conducta de ingesta, la cronobiología, las funciones ejecutivas, la memoria y la atención. Se sostiene como tesis que la conducta humana es el resultado de una interacción constante entre el cerebro, el cuerpo y el ambiente; por ello, comprender estos procesos permite explicar mejor cómo las personas regulan sus necesidades, organizan sus actividades y responden ante las demandas del entorno.</w:t>
      </w:r>
    </w:p>
    <w:p w14:paraId="256430CE" w14:textId="77777777" w:rsidR="00607549" w:rsidRPr="00607549" w:rsidRDefault="00607549" w:rsidP="006075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7549">
        <w:rPr>
          <w:rFonts w:ascii="Times New Roman" w:eastAsia="Times New Roman" w:hAnsi="Times New Roman" w:cs="Times New Roman"/>
          <w:b/>
          <w:bCs/>
          <w:kern w:val="0"/>
          <w:sz w:val="36"/>
          <w:szCs w:val="36"/>
          <w:lang w:eastAsia="es-MX"/>
          <w14:ligatures w14:val="none"/>
        </w:rPr>
        <w:t>Desarrollo</w:t>
      </w:r>
    </w:p>
    <w:p w14:paraId="0FB11978" w14:textId="77777777" w:rsidR="00607549" w:rsidRPr="00607549" w:rsidRDefault="00607549" w:rsidP="006075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7549">
        <w:rPr>
          <w:rFonts w:ascii="Times New Roman" w:eastAsia="Times New Roman" w:hAnsi="Times New Roman" w:cs="Times New Roman"/>
          <w:b/>
          <w:bCs/>
          <w:kern w:val="0"/>
          <w:sz w:val="27"/>
          <w:szCs w:val="27"/>
          <w:lang w:eastAsia="es-MX"/>
          <w14:ligatures w14:val="none"/>
        </w:rPr>
        <w:t>Hambre y conducta de consumo</w:t>
      </w:r>
    </w:p>
    <w:p w14:paraId="182AC0C7"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 conducta de consumo alimentario es uno de los procesos básicos para la supervivencia. Comer no es simplemente una decisión voluntaria o una costumbre social, sino una conducta regulada por mecanismos fisiológicos, químicos, cerebrales y ambientales. La lectura de </w:t>
      </w:r>
      <w:r w:rsidRPr="00607549">
        <w:rPr>
          <w:rFonts w:ascii="Times New Roman" w:eastAsia="Times New Roman" w:hAnsi="Times New Roman" w:cs="Times New Roman"/>
          <w:b/>
          <w:bCs/>
          <w:kern w:val="0"/>
          <w:lang w:eastAsia="es-MX"/>
          <w14:ligatures w14:val="none"/>
        </w:rPr>
        <w:t>Hambre y conducta de consumo</w:t>
      </w:r>
      <w:r w:rsidRPr="00607549">
        <w:rPr>
          <w:rFonts w:ascii="Times New Roman" w:eastAsia="Times New Roman" w:hAnsi="Times New Roman" w:cs="Times New Roman"/>
          <w:kern w:val="0"/>
          <w:lang w:eastAsia="es-MX"/>
          <w14:ligatures w14:val="none"/>
        </w:rPr>
        <w:t xml:space="preserve"> explica que la ingesta permite mantener el balance energético del organismo, ya que el cuerpo necesita energía para funcionar adecuadamente, especialmente el cerebro, que consume una cantidad importante de recursos incluso cuando la persona está en reposo. </w:t>
      </w:r>
    </w:p>
    <w:p w14:paraId="3B323DE7"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Desde esta perspectiva, el hambre no aparece por una sola causa. Existen señales internas, como la disminución de glucosa o lípidos en sangre, y señales químicas como la </w:t>
      </w:r>
      <w:proofErr w:type="spellStart"/>
      <w:r w:rsidRPr="00607549">
        <w:rPr>
          <w:rFonts w:ascii="Times New Roman" w:eastAsia="Times New Roman" w:hAnsi="Times New Roman" w:cs="Times New Roman"/>
          <w:kern w:val="0"/>
          <w:lang w:eastAsia="es-MX"/>
          <w14:ligatures w14:val="none"/>
        </w:rPr>
        <w:t>grelina</w:t>
      </w:r>
      <w:proofErr w:type="spellEnd"/>
      <w:r w:rsidRPr="00607549">
        <w:rPr>
          <w:rFonts w:ascii="Times New Roman" w:eastAsia="Times New Roman" w:hAnsi="Times New Roman" w:cs="Times New Roman"/>
          <w:kern w:val="0"/>
          <w:lang w:eastAsia="es-MX"/>
          <w14:ligatures w14:val="none"/>
        </w:rPr>
        <w:t>, hormona relacionada con el inicio de la conducta de comer. También intervienen factores externos, como el olor de la comida, la hora del día o la presencia de otras personas comiendo. Esto demuestra que la conducta alimentaria no depende únicamente de una necesidad biológica, sino también del contexto en el que se encuentra la persona.</w:t>
      </w:r>
    </w:p>
    <w:p w14:paraId="117D95D2"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Un argumento importante es que el organismo funciona mediante mecanismos reguladores. Estos mecanismos buscan conservar el equilibrio interno y utilizan la retroalimentación </w:t>
      </w:r>
      <w:r w:rsidRPr="00607549">
        <w:rPr>
          <w:rFonts w:ascii="Times New Roman" w:eastAsia="Times New Roman" w:hAnsi="Times New Roman" w:cs="Times New Roman"/>
          <w:kern w:val="0"/>
          <w:lang w:eastAsia="es-MX"/>
          <w14:ligatures w14:val="none"/>
        </w:rPr>
        <w:lastRenderedPageBreak/>
        <w:t xml:space="preserve">negativa para detener una conducta cuando ya se ha alcanzado el valor necesario. En el caso de la alimentación, esto significa que el cuerpo cuenta con sistemas que activan el hambre y otros que producen saciedad. Por ejemplo, la colecistoquinina, el péptido YY, la insulina y la leptina participan en señales de saciedad que ayudan a detener la ingesta cuando el organismo ya ha recibido suficiente alimento. </w:t>
      </w:r>
    </w:p>
    <w:p w14:paraId="19E95708"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Por lo tanto, se puede afirmar que la conducta alimentaria es un ejemplo claro de cómo el cuerpo y el cerebro trabajan juntos para mantener la homeostasis. Sin embargo, también se debe reconocer que cuando estos mecanismos se alteran, pueden aparecer problemas en la regulación de la ingesta, como comer en exceso o comer menos de lo necesario. Esto evidencia que la alimentación no debe analizarse solo como un hábito, sino como un proceso neurobiológico complejo.</w:t>
      </w:r>
    </w:p>
    <w:p w14:paraId="27BC9B29" w14:textId="77777777" w:rsidR="00607549" w:rsidRPr="00607549" w:rsidRDefault="00607549" w:rsidP="006075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7549">
        <w:rPr>
          <w:rFonts w:ascii="Times New Roman" w:eastAsia="Times New Roman" w:hAnsi="Times New Roman" w:cs="Times New Roman"/>
          <w:b/>
          <w:bCs/>
          <w:kern w:val="0"/>
          <w:sz w:val="27"/>
          <w:szCs w:val="27"/>
          <w:lang w:eastAsia="es-MX"/>
          <w14:ligatures w14:val="none"/>
        </w:rPr>
        <w:t>Cronobiología y regulación de la conducta</w:t>
      </w:r>
    </w:p>
    <w:p w14:paraId="099931CA"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 cronobiología permite comprender cómo los ritmos biológicos organizan la conducta humana. La lectura de </w:t>
      </w:r>
      <w:r w:rsidRPr="00607549">
        <w:rPr>
          <w:rFonts w:ascii="Times New Roman" w:eastAsia="Times New Roman" w:hAnsi="Times New Roman" w:cs="Times New Roman"/>
          <w:b/>
          <w:bCs/>
          <w:kern w:val="0"/>
          <w:lang w:eastAsia="es-MX"/>
          <w14:ligatures w14:val="none"/>
        </w:rPr>
        <w:t>Cronobiología</w:t>
      </w:r>
      <w:r w:rsidRPr="00607549">
        <w:rPr>
          <w:rFonts w:ascii="Times New Roman" w:eastAsia="Times New Roman" w:hAnsi="Times New Roman" w:cs="Times New Roman"/>
          <w:kern w:val="0"/>
          <w:lang w:eastAsia="es-MX"/>
          <w14:ligatures w14:val="none"/>
        </w:rPr>
        <w:t xml:space="preserve"> explica que muchas actividades del organismo se desarrollan en ciclos, como el sueño, la vigilia, el hambre, la actividad hormonal y otros procesos fisiológicos. Estos ciclos permiten que el cuerpo distribuya sus actividades en el tiempo y se adapte a los cambios del ambiente. </w:t>
      </w:r>
    </w:p>
    <w:p w14:paraId="5517C735"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Uno de los conceptos centrales es el de los ritmos circadianos, los cuales se organizan alrededor de un período aproximado de 24 horas. Estos ritmos permiten que el organismo mantenga una estructura temporal, por ejemplo, para dormir durante la noche y mantenerse activo durante el día. También existen ritmos ultradianos, que ocurren más de una vez al día, e </w:t>
      </w:r>
      <w:proofErr w:type="spellStart"/>
      <w:r w:rsidRPr="00607549">
        <w:rPr>
          <w:rFonts w:ascii="Times New Roman" w:eastAsia="Times New Roman" w:hAnsi="Times New Roman" w:cs="Times New Roman"/>
          <w:kern w:val="0"/>
          <w:lang w:eastAsia="es-MX"/>
          <w14:ligatures w14:val="none"/>
        </w:rPr>
        <w:t>infradianos</w:t>
      </w:r>
      <w:proofErr w:type="spellEnd"/>
      <w:r w:rsidRPr="00607549">
        <w:rPr>
          <w:rFonts w:ascii="Times New Roman" w:eastAsia="Times New Roman" w:hAnsi="Times New Roman" w:cs="Times New Roman"/>
          <w:kern w:val="0"/>
          <w:lang w:eastAsia="es-MX"/>
          <w14:ligatures w14:val="none"/>
        </w:rPr>
        <w:t>, que se repiten en períodos mayores a un día.</w:t>
      </w:r>
    </w:p>
    <w:p w14:paraId="0C421845"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 importancia de la cronobiología se observa en la relación entre el cuerpo y los sincronizadores ambientales. La luz es uno de los sincronizadores más importantes, ya que ayuda a ajustar el reloj biológico. La lectura explica que el núcleo supraquiasmático participa en la regulación de los ciclos circadianos, recibiendo información lumínica y coordinando procesos relacionados con el sueño y la vigilia. Además, la melatonina cumple una función relevante en la adaptación del organismo a los ciclos de oscuridad. </w:t>
      </w:r>
    </w:p>
    <w:p w14:paraId="5EA9C4A3"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Desde un punto de vista argumentativo, esto demuestra que el comportamiento humano no ocurre de forma aislada, sino que está influido por ritmos internos y señales externas. Cuando una persona altera sus horarios de sueño, cambia bruscamente sus ciclos de luz-oscuridad o no descansa adecuadamente, también puede afectar su concentración, estado de ánimo, alimentación y rendimiento cognitivo. Por esta razón, la cronobiología es fundamental para comprender la salud mental y el funcionamiento diario.</w:t>
      </w:r>
    </w:p>
    <w:p w14:paraId="31E99C8C" w14:textId="77777777" w:rsidR="00607549" w:rsidRPr="00607549" w:rsidRDefault="00607549" w:rsidP="006075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7549">
        <w:rPr>
          <w:rFonts w:ascii="Times New Roman" w:eastAsia="Times New Roman" w:hAnsi="Times New Roman" w:cs="Times New Roman"/>
          <w:b/>
          <w:bCs/>
          <w:kern w:val="0"/>
          <w:sz w:val="27"/>
          <w:szCs w:val="27"/>
          <w:lang w:eastAsia="es-MX"/>
          <w14:ligatures w14:val="none"/>
        </w:rPr>
        <w:t>Funciones ejecutivas</w:t>
      </w:r>
    </w:p>
    <w:p w14:paraId="6A277FF2"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Las funciones ejecutivas representan un conjunto de capacidades superiores que permiten dirigir la conducta hacia metas. En la lectura complementaria </w:t>
      </w:r>
      <w:r w:rsidRPr="00607549">
        <w:rPr>
          <w:rFonts w:ascii="Times New Roman" w:eastAsia="Times New Roman" w:hAnsi="Times New Roman" w:cs="Times New Roman"/>
          <w:b/>
          <w:bCs/>
          <w:kern w:val="0"/>
          <w:lang w:eastAsia="es-MX"/>
          <w14:ligatures w14:val="none"/>
        </w:rPr>
        <w:t>Neurociencia de las Capacidades y los Procesos Cognitivos</w:t>
      </w:r>
      <w:r w:rsidRPr="00607549">
        <w:rPr>
          <w:rFonts w:ascii="Times New Roman" w:eastAsia="Times New Roman" w:hAnsi="Times New Roman" w:cs="Times New Roman"/>
          <w:kern w:val="0"/>
          <w:lang w:eastAsia="es-MX"/>
          <w14:ligatures w14:val="none"/>
        </w:rPr>
        <w:t xml:space="preserve">, el capítulo de funciones ejecutivas explica que </w:t>
      </w:r>
      <w:r w:rsidRPr="00607549">
        <w:rPr>
          <w:rFonts w:ascii="Times New Roman" w:eastAsia="Times New Roman" w:hAnsi="Times New Roman" w:cs="Times New Roman"/>
          <w:kern w:val="0"/>
          <w:lang w:eastAsia="es-MX"/>
          <w14:ligatures w14:val="none"/>
        </w:rPr>
        <w:lastRenderedPageBreak/>
        <w:t xml:space="preserve">estas funciones se relacionan con el control inhibitorio, la flexibilidad cognitiva y la actualización de la memoria de trabajo. Estas capacidades permiten que una persona organice su conducta, tome decisiones, controle impulsos y se adapte a situaciones nuevas. </w:t>
      </w:r>
    </w:p>
    <w:p w14:paraId="086465FF"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El control inhibitorio es especialmente importante porque permite detener respuestas automáticas o impulsivas. Por ejemplo, una persona puede sentir el deseo de actuar de inmediato ante un estímulo, pero las funciones ejecutivas le permiten analizar la situación antes de responder. Este proceso es fundamental en la vida cotidiana, ya que favorece la toma de decisiones responsables y la regulación del comportamiento.</w:t>
      </w:r>
    </w:p>
    <w:p w14:paraId="0EA99D83"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flexibilidad cognitiva, por su parte, permite cambiar de estrategia cuando una situación lo requiere. Una persona con buena flexibilidad cognitiva puede considerar alternativas, modificar su punto de vista y adaptarse a nuevas condiciones. Esta capacidad es clave en el aprendizaje, la resolución de problemas y las relaciones sociales.</w:t>
      </w:r>
    </w:p>
    <w:p w14:paraId="1C0C7512"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memoria de trabajo también forma parte de este sistema, ya que permite mantener y actualizar información temporalmente mientras se realiza una tarea. Por ejemplo, al resolver un problema, estudiar o seguir instrucciones, la persona necesita conservar información activa para utilizarla en el momento adecuado. De esta manera, las funciones ejecutivas no actúan de forma aislada, sino que coordinan otras capacidades cognitivas.</w:t>
      </w:r>
    </w:p>
    <w:p w14:paraId="24F3FC26"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Se puede argumentar que las funciones ejecutivas son esenciales para la autonomía humana. Sin ellas, la conducta estaría dominada por impulsos, hábitos o respuestas automáticas. Por eso, estas funciones permiten que la persona no solo reaccione ante el ambiente, sino que planifique, decida y actúe conforme a objetivos.</w:t>
      </w:r>
    </w:p>
    <w:p w14:paraId="3F1CF1A8" w14:textId="77777777" w:rsidR="00607549" w:rsidRPr="00607549" w:rsidRDefault="00607549" w:rsidP="006075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7549">
        <w:rPr>
          <w:rFonts w:ascii="Times New Roman" w:eastAsia="Times New Roman" w:hAnsi="Times New Roman" w:cs="Times New Roman"/>
          <w:b/>
          <w:bCs/>
          <w:kern w:val="0"/>
          <w:sz w:val="27"/>
          <w:szCs w:val="27"/>
          <w:lang w:eastAsia="es-MX"/>
          <w14:ligatures w14:val="none"/>
        </w:rPr>
        <w:t>Memoria</w:t>
      </w:r>
    </w:p>
    <w:p w14:paraId="546F882E"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 memoria es una capacidad cognitiva fundamental porque permite adquirir, almacenar y recuperar información. Según la lectura complementaria, no debe hablarse de “la memoria” como si fuera un único proceso, ya que existen diferentes sistemas de memoria, entre ellos la memoria a corto plazo, la memoria a largo plazo, la memoria explícita, la memoria implícita, la memoria semántica, la memoria episódica y la memoria procedural. </w:t>
      </w:r>
    </w:p>
    <w:p w14:paraId="55C837DB"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memoria a corto plazo permite mantener información durante un período breve. Esta capacidad es necesaria para comprender oraciones, seguir instrucciones o realizar tareas inmediatas. Por otro lado, la memoria a largo plazo conserva información durante períodos más extensos e incluye conocimientos, experiencias personales, hábitos y aprendizajes.</w:t>
      </w:r>
    </w:p>
    <w:p w14:paraId="7D13C304"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memoria semántica se relaciona con los conceptos y significados que una persona conoce. Gracias a ella, se puede comprender el lenguaje, utilizar palabras y reconocer información aprendida. La memoria episódica, en cambio, se vincula con los recuerdos autobiográficos, es decir, con experiencias personales ubicadas en un tiempo y contexto específico.</w:t>
      </w:r>
    </w:p>
    <w:p w14:paraId="7A2D7752"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lastRenderedPageBreak/>
        <w:t>También es importante la memoria procedural, relacionada con actividades aprendidas y automatizadas, como conducir, escribir o realizar movimientos practicados. Este tipo de memoria demuestra que no todo recuerdo se expresa mediante palabras; algunas memorias se manifiestan a través de acciones.</w:t>
      </w:r>
    </w:p>
    <w:p w14:paraId="3D478332"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Desde una posición argumentativa, la memoria puede considerarse una base esencial de la identidad y del aprendizaje. Sin memoria, la persona no podría construir continuidad en su vida, reconocer sus experiencias, aprender de errores anteriores ni aplicar conocimientos en nuevas situaciones. Además, la memoria se relaciona con otras funciones cognitivas como la atención y las funciones ejecutivas, por lo que su alteración puede afectar de forma significativa el desempeño diario.</w:t>
      </w:r>
    </w:p>
    <w:p w14:paraId="7B80D91F" w14:textId="77777777" w:rsidR="00607549" w:rsidRPr="00607549" w:rsidRDefault="00607549" w:rsidP="006075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607549">
        <w:rPr>
          <w:rFonts w:ascii="Times New Roman" w:eastAsia="Times New Roman" w:hAnsi="Times New Roman" w:cs="Times New Roman"/>
          <w:b/>
          <w:bCs/>
          <w:kern w:val="0"/>
          <w:sz w:val="27"/>
          <w:szCs w:val="27"/>
          <w:lang w:eastAsia="es-MX"/>
          <w14:ligatures w14:val="none"/>
        </w:rPr>
        <w:t>Atención</w:t>
      </w:r>
    </w:p>
    <w:p w14:paraId="191670CD"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La atención es una capacidad indispensable para seleccionar información relevante del ambiente. La lectura complementaria explica que la atención no es un proceso simple, sino que puede entenderse como un conjunto de redes que permiten mantener la activación, orientar los sentidos hacia estímulos importantes y controlar el foco atencional. </w:t>
      </w:r>
    </w:p>
    <w:p w14:paraId="0CF229BD"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Una de estas redes es la red de alerta, relacionada con el nivel de activación de la persona. Si el nivel de alerta es muy bajo, puede aparecer somnolencia o dificultad para responder; si es excesivo, puede presentarse inquietud o hiperactividad. Por eso, un nivel adecuado de alerta es necesario para aprender, escuchar, estudiar y responder de manera eficiente.</w:t>
      </w:r>
    </w:p>
    <w:p w14:paraId="4137F327"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red de orientación permite dirigir los sentidos hacia estímulos relevantes o inesperados. Esta capacidad tiene valor adaptativo, porque ayuda a detectar cambios en el ambiente. Por ejemplo, cuando una persona escucha un sonido repentino, su atención se orienta hacia esa fuente para identificar si representa una oportunidad o un peligro.</w:t>
      </w:r>
    </w:p>
    <w:p w14:paraId="1A78018D"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La red de control ejecutivo permite mantener el foco en una tarea e inhibir distractores. Esta función está estrechamente relacionada con las funciones ejecutivas, ya que exige control, selección de información y resistencia ante estímulos irrelevantes. En el contexto educativo, esta capacidad resulta fundamental, porque permite que el estudiante mantenga su concentración durante la lectura, la escritura o la resolución de actividades académicas.</w:t>
      </w:r>
    </w:p>
    <w:p w14:paraId="08E044A9"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Por ello, la atención puede entenderse como una puerta de entrada al aprendizaje. Si una persona no logra atender adecuadamente, tendrá mayores dificultades para codificar información en la memoria, comprender contenidos y tomar decisiones. La atención conecta al individuo con el ambiente, pero también depende del estado interno del organismo, del nivel de motivación, del sueño y de la regulación emocional.</w:t>
      </w:r>
    </w:p>
    <w:p w14:paraId="1EB6B0FB" w14:textId="77777777" w:rsidR="00607549" w:rsidRPr="00607549" w:rsidRDefault="00607549" w:rsidP="006075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7549">
        <w:rPr>
          <w:rFonts w:ascii="Times New Roman" w:eastAsia="Times New Roman" w:hAnsi="Times New Roman" w:cs="Times New Roman"/>
          <w:b/>
          <w:bCs/>
          <w:kern w:val="0"/>
          <w:sz w:val="36"/>
          <w:szCs w:val="36"/>
          <w:lang w:eastAsia="es-MX"/>
          <w14:ligatures w14:val="none"/>
        </w:rPr>
        <w:t>Conclusiones</w:t>
      </w:r>
    </w:p>
    <w:p w14:paraId="61B05FC1"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En conclusión, los temas analizados demuestran que el comportamiento humano es producto de una interacción constante entre procesos biológicos, cerebrales, cognitivos y ambientales. La conducta alimentaria evidencia cómo el organismo busca mantener el </w:t>
      </w:r>
      <w:r w:rsidRPr="00607549">
        <w:rPr>
          <w:rFonts w:ascii="Times New Roman" w:eastAsia="Times New Roman" w:hAnsi="Times New Roman" w:cs="Times New Roman"/>
          <w:kern w:val="0"/>
          <w:lang w:eastAsia="es-MX"/>
          <w14:ligatures w14:val="none"/>
        </w:rPr>
        <w:lastRenderedPageBreak/>
        <w:t>equilibrio energético mediante señales internas y externas. La cronobiología muestra que la conducta está organizada por ritmos biológicos que permiten la adaptación al ambiente.</w:t>
      </w:r>
    </w:p>
    <w:p w14:paraId="46564F65"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Asimismo, las funciones ejecutivas permiten dirigir la conducta hacia metas, controlar impulsos y resolver problemas. La memoria posibilita conservar experiencias, conocimientos y aprendizajes, mientras que la atención permite seleccionar la información relevante para actuar de manera adecuada. Estos procesos no funcionan de forma separada, sino que se relacionan entre sí en la vida cotidiana.</w:t>
      </w:r>
    </w:p>
    <w:p w14:paraId="7830BF30"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Por lo tanto, comprender estos mecanismos es importante para explicar por qué las personas actúan de determinada manera, cómo aprenden, cómo regulan sus necesidades y cómo se adaptan a los cambios del ambiente. Desde la neurociencia del comportamiento, se puede afirmar que la conducta humana no depende únicamente de la voluntad, sino también de sistemas cerebrales y corporales que influyen en la forma de pensar, sentir y actuar.</w:t>
      </w:r>
    </w:p>
    <w:p w14:paraId="01238B0E"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Finalmente, este análisis permite valorar la importancia de cuidar hábitos como la alimentación, el sueño, la atención y la organización de actividades, ya que todos ellos tienen impacto en el funcionamiento cerebral y en el bienestar general de las personas.</w:t>
      </w:r>
    </w:p>
    <w:p w14:paraId="4B9A39E1" w14:textId="77777777" w:rsidR="00607549" w:rsidRPr="00607549" w:rsidRDefault="00607549" w:rsidP="00607549">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607549">
        <w:rPr>
          <w:rFonts w:ascii="Times New Roman" w:eastAsia="Times New Roman" w:hAnsi="Times New Roman" w:cs="Times New Roman"/>
          <w:b/>
          <w:bCs/>
          <w:kern w:val="0"/>
          <w:sz w:val="36"/>
          <w:szCs w:val="36"/>
          <w:lang w:eastAsia="es-MX"/>
          <w14:ligatures w14:val="none"/>
        </w:rPr>
        <w:t>Bibliografía</w:t>
      </w:r>
    </w:p>
    <w:p w14:paraId="76AB4381"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Marino, J., Jaldo, R., Arias, J. C., &amp; Palma, M. R. (s. f.). </w:t>
      </w:r>
      <w:r w:rsidRPr="00607549">
        <w:rPr>
          <w:rFonts w:ascii="Times New Roman" w:eastAsia="Times New Roman" w:hAnsi="Times New Roman" w:cs="Times New Roman"/>
          <w:i/>
          <w:iCs/>
          <w:kern w:val="0"/>
          <w:lang w:eastAsia="es-MX"/>
          <w14:ligatures w14:val="none"/>
        </w:rPr>
        <w:t>Neurociencia de las capacidades y los procesos cognitivos</w:t>
      </w:r>
      <w:r w:rsidRPr="00607549">
        <w:rPr>
          <w:rFonts w:ascii="Times New Roman" w:eastAsia="Times New Roman" w:hAnsi="Times New Roman" w:cs="Times New Roman"/>
          <w:kern w:val="0"/>
          <w:lang w:eastAsia="es-MX"/>
          <w14:ligatures w14:val="none"/>
        </w:rPr>
        <w:t>.</w:t>
      </w:r>
    </w:p>
    <w:p w14:paraId="23499E35"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Moreno, L. (2023). </w:t>
      </w:r>
      <w:r w:rsidRPr="00607549">
        <w:rPr>
          <w:rFonts w:ascii="Times New Roman" w:eastAsia="Times New Roman" w:hAnsi="Times New Roman" w:cs="Times New Roman"/>
          <w:i/>
          <w:iCs/>
          <w:kern w:val="0"/>
          <w:lang w:eastAsia="es-MX"/>
          <w14:ligatures w14:val="none"/>
        </w:rPr>
        <w:t>Cronobiología</w:t>
      </w:r>
      <w:r w:rsidRPr="00607549">
        <w:rPr>
          <w:rFonts w:ascii="Times New Roman" w:eastAsia="Times New Roman" w:hAnsi="Times New Roman" w:cs="Times New Roman"/>
          <w:kern w:val="0"/>
          <w:lang w:eastAsia="es-MX"/>
          <w14:ligatures w14:val="none"/>
        </w:rPr>
        <w:t>. Universidad San Marcos.</w:t>
      </w:r>
    </w:p>
    <w:p w14:paraId="5A4711EC" w14:textId="77777777" w:rsidR="00607549" w:rsidRPr="00607549" w:rsidRDefault="00607549" w:rsidP="00607549">
      <w:pPr>
        <w:spacing w:before="100" w:beforeAutospacing="1" w:after="100" w:afterAutospacing="1" w:line="240" w:lineRule="auto"/>
        <w:rPr>
          <w:rFonts w:ascii="Times New Roman" w:eastAsia="Times New Roman" w:hAnsi="Times New Roman" w:cs="Times New Roman"/>
          <w:kern w:val="0"/>
          <w:lang w:eastAsia="es-MX"/>
          <w14:ligatures w14:val="none"/>
        </w:rPr>
      </w:pPr>
      <w:r w:rsidRPr="00607549">
        <w:rPr>
          <w:rFonts w:ascii="Times New Roman" w:eastAsia="Times New Roman" w:hAnsi="Times New Roman" w:cs="Times New Roman"/>
          <w:kern w:val="0"/>
          <w:lang w:eastAsia="es-MX"/>
          <w14:ligatures w14:val="none"/>
        </w:rPr>
        <w:t xml:space="preserve">Moreno, L. (2023). </w:t>
      </w:r>
      <w:r w:rsidRPr="00607549">
        <w:rPr>
          <w:rFonts w:ascii="Times New Roman" w:eastAsia="Times New Roman" w:hAnsi="Times New Roman" w:cs="Times New Roman"/>
          <w:i/>
          <w:iCs/>
          <w:kern w:val="0"/>
          <w:lang w:eastAsia="es-MX"/>
          <w14:ligatures w14:val="none"/>
        </w:rPr>
        <w:t>Hambre y conducta de consumo</w:t>
      </w:r>
      <w:r w:rsidRPr="00607549">
        <w:rPr>
          <w:rFonts w:ascii="Times New Roman" w:eastAsia="Times New Roman" w:hAnsi="Times New Roman" w:cs="Times New Roman"/>
          <w:kern w:val="0"/>
          <w:lang w:eastAsia="es-MX"/>
          <w14:ligatures w14:val="none"/>
        </w:rPr>
        <w:t>. Universidad San Marcos.</w:t>
      </w:r>
    </w:p>
    <w:p w14:paraId="5608AAE6" w14:textId="77777777" w:rsidR="00AB2FD0" w:rsidRDefault="00AB2FD0"/>
    <w:sectPr w:rsidR="00AB2FD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49"/>
    <w:rsid w:val="00461BCB"/>
    <w:rsid w:val="00607549"/>
    <w:rsid w:val="00AB2FD0"/>
    <w:rsid w:val="00AC239B"/>
    <w:rsid w:val="00E23502"/>
    <w:rsid w:val="00F1218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67EF7C"/>
  <w15:chartTrackingRefBased/>
  <w15:docId w15:val="{D1ED5870-FE6B-664C-BB54-856B3FA6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0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07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7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7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7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7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7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7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5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075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075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75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75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7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7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7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7549"/>
    <w:rPr>
      <w:rFonts w:eastAsiaTheme="majorEastAsia" w:cstheme="majorBidi"/>
      <w:color w:val="272727" w:themeColor="text1" w:themeTint="D8"/>
    </w:rPr>
  </w:style>
  <w:style w:type="paragraph" w:styleId="Ttulo">
    <w:name w:val="Title"/>
    <w:basedOn w:val="Normal"/>
    <w:next w:val="Normal"/>
    <w:link w:val="TtuloCar"/>
    <w:uiPriority w:val="10"/>
    <w:qFormat/>
    <w:rsid w:val="0060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7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7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7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7549"/>
    <w:pPr>
      <w:spacing w:before="160"/>
      <w:jc w:val="center"/>
    </w:pPr>
    <w:rPr>
      <w:i/>
      <w:iCs/>
      <w:color w:val="404040" w:themeColor="text1" w:themeTint="BF"/>
    </w:rPr>
  </w:style>
  <w:style w:type="character" w:customStyle="1" w:styleId="CitaCar">
    <w:name w:val="Cita Car"/>
    <w:basedOn w:val="Fuentedeprrafopredeter"/>
    <w:link w:val="Cita"/>
    <w:uiPriority w:val="29"/>
    <w:rsid w:val="00607549"/>
    <w:rPr>
      <w:i/>
      <w:iCs/>
      <w:color w:val="404040" w:themeColor="text1" w:themeTint="BF"/>
    </w:rPr>
  </w:style>
  <w:style w:type="paragraph" w:styleId="Prrafodelista">
    <w:name w:val="List Paragraph"/>
    <w:basedOn w:val="Normal"/>
    <w:uiPriority w:val="34"/>
    <w:qFormat/>
    <w:rsid w:val="00607549"/>
    <w:pPr>
      <w:ind w:left="720"/>
      <w:contextualSpacing/>
    </w:pPr>
  </w:style>
  <w:style w:type="character" w:styleId="nfasisintenso">
    <w:name w:val="Intense Emphasis"/>
    <w:basedOn w:val="Fuentedeprrafopredeter"/>
    <w:uiPriority w:val="21"/>
    <w:qFormat/>
    <w:rsid w:val="00607549"/>
    <w:rPr>
      <w:i/>
      <w:iCs/>
      <w:color w:val="2F5496" w:themeColor="accent1" w:themeShade="BF"/>
    </w:rPr>
  </w:style>
  <w:style w:type="paragraph" w:styleId="Citadestacada">
    <w:name w:val="Intense Quote"/>
    <w:basedOn w:val="Normal"/>
    <w:next w:val="Normal"/>
    <w:link w:val="CitadestacadaCar"/>
    <w:uiPriority w:val="30"/>
    <w:qFormat/>
    <w:rsid w:val="0060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7549"/>
    <w:rPr>
      <w:i/>
      <w:iCs/>
      <w:color w:val="2F5496" w:themeColor="accent1" w:themeShade="BF"/>
    </w:rPr>
  </w:style>
  <w:style w:type="character" w:styleId="Referenciaintensa">
    <w:name w:val="Intense Reference"/>
    <w:basedOn w:val="Fuentedeprrafopredeter"/>
    <w:uiPriority w:val="32"/>
    <w:qFormat/>
    <w:rsid w:val="00607549"/>
    <w:rPr>
      <w:b/>
      <w:bCs/>
      <w:smallCaps/>
      <w:color w:val="2F5496" w:themeColor="accent1" w:themeShade="BF"/>
      <w:spacing w:val="5"/>
    </w:rPr>
  </w:style>
  <w:style w:type="paragraph" w:styleId="NormalWeb">
    <w:name w:val="Normal (Web)"/>
    <w:basedOn w:val="Normal"/>
    <w:uiPriority w:val="99"/>
    <w:semiHidden/>
    <w:unhideWhenUsed/>
    <w:rsid w:val="0060754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7549"/>
    <w:rPr>
      <w:b/>
      <w:bCs/>
    </w:rPr>
  </w:style>
  <w:style w:type="character" w:styleId="nfasis">
    <w:name w:val="Emphasis"/>
    <w:basedOn w:val="Fuentedeprrafopredeter"/>
    <w:uiPriority w:val="20"/>
    <w:qFormat/>
    <w:rsid w:val="006075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1983</Words>
  <Characters>10911</Characters>
  <Application>Microsoft Office Word</Application>
  <DocSecurity>0</DocSecurity>
  <Lines>90</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fiorella Vindas Campos</dc:creator>
  <cp:keywords/>
  <dc:description/>
  <cp:lastModifiedBy>Veronica fiorella Vindas Campos</cp:lastModifiedBy>
  <cp:revision>1</cp:revision>
  <dcterms:created xsi:type="dcterms:W3CDTF">2026-07-04T23:10:00Z</dcterms:created>
  <dcterms:modified xsi:type="dcterms:W3CDTF">2026-07-04T23:13:00Z</dcterms:modified>
</cp:coreProperties>
</file>