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60"/>
        <w:jc w:val="center"/>
      </w:pPr>
      <w:r>
        <w:rPr>
          <w:rFonts w:ascii="Arial" w:cs="Arial" w:eastAsia="Arial" w:hAnsi="Arial"/>
          <w:b/>
          <w:bCs/>
          <w:color w:val="6247CC"/>
          <w:sz w:val="72"/>
          <w:szCs w:val="72"/>
        </w:rPr>
        <w:t xml:space="preserve">ETL TOOL</w:t>
      </w:r>
    </w:p>
    <w:p>
      <w:pPr>
        <w:spacing w:after="200"/>
        <w:jc w:val="center"/>
      </w:pPr>
      <w:r>
        <w:rPr>
          <w:rFonts w:ascii="Arial" w:cs="Arial" w:eastAsia="Arial" w:hAnsi="Arial"/>
          <w:color w:val="00C87A"/>
          <w:sz w:val="36"/>
          <w:szCs w:val="36"/>
        </w:rPr>
        <w:t xml:space="preserve">XLS / XLSX  →  CSV UTF-8</w:t>
      </w:r>
    </w:p>
    <w:p>
      <w:pPr>
        <w:spacing w:after="80"/>
        <w:jc w:val="center"/>
      </w:pPr>
      <w:r>
        <w:rPr>
          <w:rFonts w:ascii="Arial" w:cs="Arial" w:eastAsia="Arial" w:hAnsi="Arial"/>
          <w:color w:val="6B6B8A"/>
          <w:sz w:val="24"/>
          <w:szCs w:val="24"/>
        </w:rPr>
        <w:t xml:space="preserve">Documentación Técnica · Buenas Prácticas · Guía de Estructura</w:t>
      </w:r>
    </w:p>
    <w:p>
      <w:pPr>
        <w:spacing w:after="1440"/>
        <w:jc w:val="center"/>
      </w:pPr>
      <w:r>
        <w:rPr>
          <w:rFonts w:ascii="Arial" w:cs="Arial" w:eastAsia="Arial" w:hAnsi="Arial"/>
          <w:color w:val="6B6B8A"/>
          <w:sz w:val="20"/>
          <w:szCs w:val="20"/>
        </w:rPr>
        <w:t xml:space="preserve">Versión 1.0.0  ·  2025</w:t>
      </w:r>
    </w:p>
    <w:p>
      <w:pPr>
        <w:pBdr>
          <w:bottom w:val="single" w:color="00C87A" w:sz="6" w:space="1"/>
        </w:pBdr>
        <w:spacing w:before="120" w:after="120"/>
      </w:pPr>
    </w:p>
    <w:p>
      <w:pPr>
        <w:pStyle w:val="Heading1"/>
        <w:pBdr>
          <w:bottom w:val="single" w:color="00C87A" w:sz="8" w:space="4"/>
        </w:pBdr>
        <w:spacing w:before="480" w:after="200"/>
      </w:pPr>
      <w:r>
        <w:rPr>
          <w:rFonts w:ascii="Arial" w:cs="Arial" w:eastAsia="Arial" w:hAnsi="Arial"/>
          <w:b/>
          <w:bCs/>
          <w:color w:val="1A1A2E"/>
          <w:sz w:val="32"/>
          <w:szCs w:val="32"/>
        </w:rPr>
        <w:t xml:space="preserve">1. Resumen Ejecutivo</w:t>
      </w:r>
    </w:p>
    <w:p>
      <w:pPr>
        <w:spacing w:before="80" w:after="80"/>
      </w:pPr>
      <w:r>
        <w:rPr>
          <w:rFonts w:ascii="Arial" w:cs="Arial" w:eastAsia="Arial" w:hAnsi="Arial"/>
          <w:color w:val="1A1A2E"/>
          <w:sz w:val="22"/>
          <w:szCs w:val="22"/>
        </w:rPr>
        <w:t xml:space="preserve">ETL Tool es una herramienta web de procesamiento de datos que opera completamente en el navegador (client-side), sin necesidad de servidor. Permite convertir archivos Excel (XLS/XLSX) a formato CSV con codificación UTF-8, aplicando transformaciones configurables y generando flujos listos para importar en n8n.</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DDDEE" w:sz="1"/>
              <w:left w:val="single" w:color="DDDDEE" w:sz="1"/>
              <w:bottom w:val="single" w:color="DDDDEE" w:sz="1"/>
              <w:right w:val="single" w:color="DDDDEE" w:sz="1"/>
            </w:tcBorders>
            <w:shd w:fill="E8E8F6"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Atributo</w:t>
            </w:r>
          </w:p>
        </w:tc>
        <w:tc>
          <w:tcPr>
            <w:tcW w:type="dxa" w:w="5760"/>
            <w:tcBorders>
              <w:top w:val="single" w:color="DDDDEE" w:sz="1"/>
              <w:left w:val="single" w:color="DDDDEE" w:sz="1"/>
              <w:bottom w:val="single" w:color="DDDDEE" w:sz="1"/>
              <w:right w:val="single" w:color="DDDDEE" w:sz="1"/>
            </w:tcBorders>
            <w:shd w:fill="E8E8F6"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Valor</w:t>
            </w:r>
          </w:p>
        </w:tc>
      </w:tr>
      <w:tr>
        <w:tc>
          <w:tcPr>
            <w:tcW w:type="dxa" w:w="36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Versión</w:t>
            </w:r>
          </w:p>
        </w:tc>
        <w:tc>
          <w:tcPr>
            <w:tcW w:type="dxa" w:w="576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1.0.0</w:t>
            </w:r>
          </w:p>
        </w:tc>
      </w:tr>
      <w:tr>
        <w:tc>
          <w:tcPr>
            <w:tcW w:type="dxa" w:w="3600"/>
            <w:tcBorders>
              <w:top w:val="single" w:color="DDDDEE" w:sz="1"/>
              <w:left w:val="single" w:color="DDDDEE" w:sz="1"/>
              <w:bottom w:val="single" w:color="DDDDEE" w:sz="1"/>
              <w:right w:val="single" w:color="DDDDEE" w:sz="1"/>
            </w:tcBorders>
            <w:shd w:fill="F4F4FA" w:val="clear"/>
            <w:tcMar>
              <w:top w:type="dxa" w:w="80"/>
              <w:left w:type="dxa" w:w="140"/>
              <w:bottom w:type="dxa" w:w="80"/>
              <w:right w:type="dxa" w:w="140"/>
            </w:tcMar>
          </w:tcPr>
          <w:p>
            <w:r>
              <w:rPr>
                <w:rFonts w:ascii="Arial" w:cs="Arial" w:eastAsia="Arial" w:hAnsi="Arial"/>
                <w:color w:val="1A1A2E"/>
                <w:sz w:val="20"/>
                <w:szCs w:val="20"/>
              </w:rPr>
              <w:t xml:space="preserve">Tecnología</w:t>
            </w:r>
          </w:p>
        </w:tc>
        <w:tc>
          <w:tcPr>
            <w:tcW w:type="dxa" w:w="5760"/>
            <w:tcBorders>
              <w:top w:val="single" w:color="DDDDEE" w:sz="1"/>
              <w:left w:val="single" w:color="DDDDEE" w:sz="1"/>
              <w:bottom w:val="single" w:color="DDDDEE" w:sz="1"/>
              <w:right w:val="single" w:color="DDDDEE" w:sz="1"/>
            </w:tcBorders>
            <w:shd w:fill="F4F4FA" w:val="clear"/>
            <w:tcMar>
              <w:top w:type="dxa" w:w="80"/>
              <w:left w:type="dxa" w:w="140"/>
              <w:bottom w:type="dxa" w:w="80"/>
              <w:right w:type="dxa" w:w="140"/>
            </w:tcMar>
          </w:tcPr>
          <w:p>
            <w:r>
              <w:rPr>
                <w:rFonts w:ascii="Arial" w:cs="Arial" w:eastAsia="Arial" w:hAnsi="Arial"/>
                <w:color w:val="1A1A2E"/>
                <w:sz w:val="20"/>
                <w:szCs w:val="20"/>
              </w:rPr>
              <w:t xml:space="preserve">HTML5 + CSS3 + JavaScript ES2020</w:t>
            </w:r>
          </w:p>
        </w:tc>
      </w:tr>
      <w:tr>
        <w:tc>
          <w:tcPr>
            <w:tcW w:type="dxa" w:w="36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Dependencias</w:t>
            </w:r>
          </w:p>
        </w:tc>
        <w:tc>
          <w:tcPr>
            <w:tcW w:type="dxa" w:w="576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SheetJS 0.18.5 (CDN)</w:t>
            </w:r>
          </w:p>
        </w:tc>
      </w:tr>
      <w:tr>
        <w:tc>
          <w:tcPr>
            <w:tcW w:type="dxa" w:w="3600"/>
            <w:tcBorders>
              <w:top w:val="single" w:color="DDDDEE" w:sz="1"/>
              <w:left w:val="single" w:color="DDDDEE" w:sz="1"/>
              <w:bottom w:val="single" w:color="DDDDEE" w:sz="1"/>
              <w:right w:val="single" w:color="DDDDEE" w:sz="1"/>
            </w:tcBorders>
            <w:shd w:fill="F4F4FA" w:val="clear"/>
            <w:tcMar>
              <w:top w:type="dxa" w:w="80"/>
              <w:left w:type="dxa" w:w="140"/>
              <w:bottom w:type="dxa" w:w="80"/>
              <w:right w:type="dxa" w:w="140"/>
            </w:tcMar>
          </w:tcPr>
          <w:p>
            <w:r>
              <w:rPr>
                <w:rFonts w:ascii="Arial" w:cs="Arial" w:eastAsia="Arial" w:hAnsi="Arial"/>
                <w:color w:val="1A1A2E"/>
                <w:sz w:val="20"/>
                <w:szCs w:val="20"/>
              </w:rPr>
              <w:t xml:space="preserve">Compatibilidad</w:t>
            </w:r>
          </w:p>
        </w:tc>
        <w:tc>
          <w:tcPr>
            <w:tcW w:type="dxa" w:w="5760"/>
            <w:tcBorders>
              <w:top w:val="single" w:color="DDDDEE" w:sz="1"/>
              <w:left w:val="single" w:color="DDDDEE" w:sz="1"/>
              <w:bottom w:val="single" w:color="DDDDEE" w:sz="1"/>
              <w:right w:val="single" w:color="DDDDEE" w:sz="1"/>
            </w:tcBorders>
            <w:shd w:fill="F4F4FA" w:val="clear"/>
            <w:tcMar>
              <w:top w:type="dxa" w:w="80"/>
              <w:left w:type="dxa" w:w="140"/>
              <w:bottom w:type="dxa" w:w="80"/>
              <w:right w:type="dxa" w:w="140"/>
            </w:tcMar>
          </w:tcPr>
          <w:p>
            <w:r>
              <w:rPr>
                <w:rFonts w:ascii="Arial" w:cs="Arial" w:eastAsia="Arial" w:hAnsi="Arial"/>
                <w:color w:val="1A1A2E"/>
                <w:sz w:val="20"/>
                <w:szCs w:val="20"/>
              </w:rPr>
              <w:t xml:space="preserve">Chrome 90+, Firefox 88+, Edge 90+, Safari 14+</w:t>
            </w:r>
          </w:p>
        </w:tc>
      </w:tr>
      <w:tr>
        <w:tc>
          <w:tcPr>
            <w:tcW w:type="dxa" w:w="36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Arquitectura</w:t>
            </w:r>
          </w:p>
        </w:tc>
        <w:tc>
          <w:tcPr>
            <w:tcW w:type="dxa" w:w="576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Single File Application (SFA) — sin build tools</w:t>
            </w:r>
          </w:p>
        </w:tc>
      </w:tr>
      <w:tr>
        <w:tc>
          <w:tcPr>
            <w:tcW w:type="dxa" w:w="3600"/>
            <w:tcBorders>
              <w:top w:val="single" w:color="DDDDEE" w:sz="1"/>
              <w:left w:val="single" w:color="DDDDEE" w:sz="1"/>
              <w:bottom w:val="single" w:color="DDDDEE" w:sz="1"/>
              <w:right w:val="single" w:color="DDDDEE" w:sz="1"/>
            </w:tcBorders>
            <w:shd w:fill="F4F4FA" w:val="clear"/>
            <w:tcMar>
              <w:top w:type="dxa" w:w="80"/>
              <w:left w:type="dxa" w:w="140"/>
              <w:bottom w:type="dxa" w:w="80"/>
              <w:right w:type="dxa" w:w="140"/>
            </w:tcMar>
          </w:tcPr>
          <w:p>
            <w:r>
              <w:rPr>
                <w:rFonts w:ascii="Arial" w:cs="Arial" w:eastAsia="Arial" w:hAnsi="Arial"/>
                <w:color w:val="1A1A2E"/>
                <w:sz w:val="20"/>
                <w:szCs w:val="20"/>
              </w:rPr>
              <w:t xml:space="preserve">Procesamiento</w:t>
            </w:r>
          </w:p>
        </w:tc>
        <w:tc>
          <w:tcPr>
            <w:tcW w:type="dxa" w:w="5760"/>
            <w:tcBorders>
              <w:top w:val="single" w:color="DDDDEE" w:sz="1"/>
              <w:left w:val="single" w:color="DDDDEE" w:sz="1"/>
              <w:bottom w:val="single" w:color="DDDDEE" w:sz="1"/>
              <w:right w:val="single" w:color="DDDDEE" w:sz="1"/>
            </w:tcBorders>
            <w:shd w:fill="F4F4FA" w:val="clear"/>
            <w:tcMar>
              <w:top w:type="dxa" w:w="80"/>
              <w:left w:type="dxa" w:w="140"/>
              <w:bottom w:type="dxa" w:w="80"/>
              <w:right w:type="dxa" w:w="140"/>
            </w:tcMar>
          </w:tcPr>
          <w:p>
            <w:r>
              <w:rPr>
                <w:rFonts w:ascii="Arial" w:cs="Arial" w:eastAsia="Arial" w:hAnsi="Arial"/>
                <w:color w:val="1A1A2E"/>
                <w:sz w:val="20"/>
                <w:szCs w:val="20"/>
              </w:rPr>
              <w:t xml:space="preserve">100% client-side — los datos nunca salen del navegador</w:t>
            </w:r>
          </w:p>
        </w:tc>
      </w:tr>
      <w:tr>
        <w:tc>
          <w:tcPr>
            <w:tcW w:type="dxa" w:w="36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Tamaño</w:t>
            </w:r>
          </w:p>
        </w:tc>
        <w:tc>
          <w:tcPr>
            <w:tcW w:type="dxa" w:w="576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~50 KB (sin CDN)</w:t>
            </w:r>
          </w:p>
        </w:tc>
      </w:tr>
    </w:tbl>
    <w:p>
      <w:pPr>
        <w:pStyle w:val="Heading1"/>
        <w:pBdr>
          <w:bottom w:val="single" w:color="00C87A" w:sz="8" w:space="4"/>
        </w:pBdr>
        <w:spacing w:before="480" w:after="200"/>
      </w:pPr>
      <w:r>
        <w:rPr>
          <w:rFonts w:ascii="Arial" w:cs="Arial" w:eastAsia="Arial" w:hAnsi="Arial"/>
          <w:b/>
          <w:bCs/>
          <w:color w:val="1A1A2E"/>
          <w:sz w:val="32"/>
          <w:szCs w:val="32"/>
        </w:rPr>
        <w:t xml:space="preserve">2. Arquitectura de la Herramienta</w:t>
      </w:r>
    </w:p>
    <w:p>
      <w:pPr>
        <w:pStyle w:val="Heading2"/>
        <w:spacing w:before="320" w:after="120"/>
      </w:pPr>
      <w:r>
        <w:rPr>
          <w:rFonts w:ascii="Arial" w:cs="Arial" w:eastAsia="Arial" w:hAnsi="Arial"/>
          <w:b/>
          <w:bCs/>
          <w:color w:val="6247CC"/>
          <w:sz w:val="26"/>
          <w:szCs w:val="26"/>
        </w:rPr>
        <w:t xml:space="preserve">2.1 Patrón de Diseño</w:t>
      </w:r>
    </w:p>
    <w:p>
      <w:pPr>
        <w:spacing w:before="80" w:after="80"/>
      </w:pPr>
      <w:r>
        <w:rPr>
          <w:rFonts w:ascii="Arial" w:cs="Arial" w:eastAsia="Arial" w:hAnsi="Arial"/>
          <w:color w:val="1A1A2E"/>
          <w:sz w:val="22"/>
          <w:szCs w:val="22"/>
        </w:rPr>
        <w:t xml:space="preserve">La herramienta sigue un patrón de aplicación de página única (SPA) simplificado dentro de un único archivo HTML. La lógica se organiza en módulos lógicos separados por comentarios de sección, siguiendo el principio de Separación de Responsabilidades (SoC).</w:t>
      </w:r>
    </w:p>
    <w:p>
      <w:pPr>
        <w:spacing w:before="120" w:after="0"/>
      </w:pPr>
    </w:p>
    <w:p>
      <w:pPr>
        <w:pStyle w:val="Heading3"/>
        <w:spacing w:before="240" w:after="80"/>
      </w:pPr>
      <w:r>
        <w:rPr>
          <w:rFonts w:ascii="Arial" w:cs="Arial" w:eastAsia="Arial" w:hAnsi="Arial"/>
          <w:b/>
          <w:bCs/>
          <w:color w:val="1A1A2E"/>
          <w:sz w:val="22"/>
          <w:szCs w:val="22"/>
        </w:rPr>
        <w:t xml:space="preserve">Capas de la aplicación</w:t>
      </w:r>
    </w:p>
    <w:p>
      <w:pPr>
        <w:pStyle w:val="ListParagraph"/>
        <w:numPr>
          <w:ilvl w:val="0"/>
          <w:numId w:val="2"/>
        </w:numPr>
        <w:spacing w:before="40" w:after="40"/>
      </w:pPr>
      <w:r>
        <w:rPr>
          <w:rFonts w:ascii="Arial" w:cs="Arial" w:eastAsia="Arial" w:hAnsi="Arial"/>
          <w:color w:val="1A1A2E"/>
          <w:sz w:val="22"/>
          <w:szCs w:val="22"/>
        </w:rPr>
        <w:t xml:space="preserve">Capa de Presentación (HTML): estructura semántica y accesible</w:t>
      </w:r>
    </w:p>
    <w:p>
      <w:pPr>
        <w:pStyle w:val="ListParagraph"/>
        <w:numPr>
          <w:ilvl w:val="0"/>
          <w:numId w:val="2"/>
        </w:numPr>
        <w:spacing w:before="40" w:after="40"/>
      </w:pPr>
      <w:r>
        <w:rPr>
          <w:rFonts w:ascii="Arial" w:cs="Arial" w:eastAsia="Arial" w:hAnsi="Arial"/>
          <w:color w:val="1A1A2E"/>
          <w:sz w:val="22"/>
          <w:szCs w:val="22"/>
        </w:rPr>
        <w:t xml:space="preserve">Capa de Estilos (CSS): variables de diseño + componentes con BEM-lite</w:t>
      </w:r>
    </w:p>
    <w:p>
      <w:pPr>
        <w:pStyle w:val="ListParagraph"/>
        <w:numPr>
          <w:ilvl w:val="0"/>
          <w:numId w:val="2"/>
        </w:numPr>
        <w:spacing w:before="40" w:after="40"/>
      </w:pPr>
      <w:r>
        <w:rPr>
          <w:rFonts w:ascii="Arial" w:cs="Arial" w:eastAsia="Arial" w:hAnsi="Arial"/>
          <w:color w:val="1A1A2E"/>
          <w:sz w:val="22"/>
          <w:szCs w:val="22"/>
        </w:rPr>
        <w:t xml:space="preserve">Capa de Lógica (JavaScript): estado centralizado + funciones puras</w:t>
      </w:r>
    </w:p>
    <w:p>
      <w:pPr>
        <w:pStyle w:val="ListParagraph"/>
        <w:numPr>
          <w:ilvl w:val="0"/>
          <w:numId w:val="2"/>
        </w:numPr>
        <w:spacing w:before="40" w:after="40"/>
      </w:pPr>
      <w:r>
        <w:rPr>
          <w:rFonts w:ascii="Arial" w:cs="Arial" w:eastAsia="Arial" w:hAnsi="Arial"/>
          <w:color w:val="1A1A2E"/>
          <w:sz w:val="22"/>
          <w:szCs w:val="22"/>
        </w:rPr>
        <w:t xml:space="preserve">Capa de Datos (SheetJS): parsing y serialización de hojas de cálculo</w:t>
      </w:r>
    </w:p>
    <w:p>
      <w:pPr>
        <w:spacing w:before="160" w:after="0"/>
      </w:pPr>
    </w:p>
    <w:p>
      <w:pPr>
        <w:pStyle w:val="Heading2"/>
        <w:spacing w:before="320" w:after="120"/>
      </w:pPr>
      <w:r>
        <w:rPr>
          <w:rFonts w:ascii="Arial" w:cs="Arial" w:eastAsia="Arial" w:hAnsi="Arial"/>
          <w:b/>
          <w:bCs/>
          <w:color w:val="6247CC"/>
          <w:sz w:val="26"/>
          <w:szCs w:val="26"/>
        </w:rPr>
        <w:t xml:space="preserve">2.2 Estructura del Archivo Principal</w:t>
      </w:r>
    </w:p>
    <w:p>
      <w:pPr>
        <w:spacing w:before="80" w:after="80"/>
      </w:pPr>
      <w:r>
        <w:rPr>
          <w:rFonts w:ascii="Arial" w:cs="Arial" w:eastAsia="Arial" w:hAnsi="Arial"/>
          <w:color w:val="1A1A2E"/>
          <w:sz w:val="22"/>
          <w:szCs w:val="22"/>
        </w:rPr>
        <w:t xml:space="preserve">El archivo etl-tool.html está dividido en 4 secciones numeradas con comentarios de bloque: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860"/>
        <w:gridCol w:w="2000"/>
      </w:tblGrid>
      <w:tr>
        <w:trPr>
          <w:tblHeader/>
        </w:trPr>
        <w:tc>
          <w:tcPr>
            <w:tcW w:type="dxa" w:w="2500"/>
            <w:tcBorders>
              <w:top w:val="single" w:color="DDDDEE" w:sz="1"/>
              <w:left w:val="single" w:color="DDDDEE" w:sz="1"/>
              <w:bottom w:val="single" w:color="DDDDEE" w:sz="1"/>
              <w:right w:val="single" w:color="DDDDEE" w:sz="1"/>
            </w:tcBorders>
            <w:shd w:fill="E8E8F6"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Sección</w:t>
            </w:r>
          </w:p>
        </w:tc>
        <w:tc>
          <w:tcPr>
            <w:tcW w:type="dxa" w:w="4860"/>
            <w:tcBorders>
              <w:top w:val="single" w:color="DDDDEE" w:sz="1"/>
              <w:left w:val="single" w:color="DDDDEE" w:sz="1"/>
              <w:bottom w:val="single" w:color="DDDDEE" w:sz="1"/>
              <w:right w:val="single" w:color="DDDDEE" w:sz="1"/>
            </w:tcBorders>
            <w:shd w:fill="E8E8F6"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Contenido</w:t>
            </w:r>
          </w:p>
        </w:tc>
        <w:tc>
          <w:tcPr>
            <w:tcW w:type="dxa" w:w="2000"/>
            <w:tcBorders>
              <w:top w:val="single" w:color="DDDDEE" w:sz="1"/>
              <w:left w:val="single" w:color="DDDDEE" w:sz="1"/>
              <w:bottom w:val="single" w:color="DDDDEE" w:sz="1"/>
              <w:right w:val="single" w:color="DDDDEE" w:sz="1"/>
            </w:tcBorders>
            <w:shd w:fill="E8E8F6"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Líneas aprox.</w:t>
            </w:r>
          </w:p>
        </w:tc>
      </w:tr>
      <w:tr>
        <w:tc>
          <w:tcPr>
            <w:tcW w:type="dxa" w:w="25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 &lt;head&gt;</w:t>
            </w:r>
          </w:p>
        </w:tc>
        <w:tc>
          <w:tcPr>
            <w:tcW w:type="dxa" w:w="486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Meta, CDN, fuentes</w:t>
            </w:r>
          </w:p>
        </w:tc>
        <w:tc>
          <w:tcPr>
            <w:tcW w:type="dxa" w:w="20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~10</w:t>
            </w:r>
          </w:p>
        </w:tc>
      </w:tr>
      <w:tr>
        <w:tc>
          <w:tcPr>
            <w:tcW w:type="dxa" w:w="2500"/>
            <w:tcBorders>
              <w:top w:val="single" w:color="DDDDEE" w:sz="1"/>
              <w:left w:val="single" w:color="DDDDEE" w:sz="1"/>
              <w:bottom w:val="single" w:color="DDDDEE" w:sz="1"/>
              <w:right w:val="single" w:color="DDDDEE" w:sz="1"/>
            </w:tcBorders>
            <w:shd w:fill="F4F4FA" w:val="clear"/>
            <w:tcMar>
              <w:top w:type="dxa" w:w="80"/>
              <w:left w:type="dxa" w:w="140"/>
              <w:bottom w:type="dxa" w:w="80"/>
              <w:right w:type="dxa" w:w="140"/>
            </w:tcMar>
          </w:tcPr>
          <w:p>
            <w:r>
              <w:rPr>
                <w:rFonts w:ascii="Arial" w:cs="Arial" w:eastAsia="Arial" w:hAnsi="Arial"/>
                <w:color w:val="1A1A2E"/>
                <w:sz w:val="20"/>
                <w:szCs w:val="20"/>
              </w:rPr>
              <w:t xml:space="preserve">2. &lt;style&gt;</w:t>
            </w:r>
          </w:p>
        </w:tc>
        <w:tc>
          <w:tcPr>
            <w:tcW w:type="dxa" w:w="4860"/>
            <w:tcBorders>
              <w:top w:val="single" w:color="DDDDEE" w:sz="1"/>
              <w:left w:val="single" w:color="DDDDEE" w:sz="1"/>
              <w:bottom w:val="single" w:color="DDDDEE" w:sz="1"/>
              <w:right w:val="single" w:color="DDDDEE" w:sz="1"/>
            </w:tcBorders>
            <w:shd w:fill="F4F4FA" w:val="clear"/>
            <w:tcMar>
              <w:top w:type="dxa" w:w="80"/>
              <w:left w:type="dxa" w:w="140"/>
              <w:bottom w:type="dxa" w:w="80"/>
              <w:right w:type="dxa" w:w="140"/>
            </w:tcMar>
          </w:tcPr>
          <w:p>
            <w:r>
              <w:rPr>
                <w:rFonts w:ascii="Arial" w:cs="Arial" w:eastAsia="Arial" w:hAnsi="Arial"/>
                <w:color w:val="1A1A2E"/>
                <w:sz w:val="20"/>
                <w:szCs w:val="20"/>
              </w:rPr>
              <w:t xml:space="preserve">11 subsecciones CSS comentadas</w:t>
            </w:r>
          </w:p>
        </w:tc>
        <w:tc>
          <w:tcPr>
            <w:tcW w:type="dxa" w:w="2000"/>
            <w:tcBorders>
              <w:top w:val="single" w:color="DDDDEE" w:sz="1"/>
              <w:left w:val="single" w:color="DDDDEE" w:sz="1"/>
              <w:bottom w:val="single" w:color="DDDDEE" w:sz="1"/>
              <w:right w:val="single" w:color="DDDDEE" w:sz="1"/>
            </w:tcBorders>
            <w:shd w:fill="F4F4FA" w:val="clear"/>
            <w:tcMar>
              <w:top w:type="dxa" w:w="80"/>
              <w:left w:type="dxa" w:w="140"/>
              <w:bottom w:type="dxa" w:w="80"/>
              <w:right w:type="dxa" w:w="140"/>
            </w:tcMar>
          </w:tcPr>
          <w:p>
            <w:r>
              <w:rPr>
                <w:rFonts w:ascii="Arial" w:cs="Arial" w:eastAsia="Arial" w:hAnsi="Arial"/>
                <w:color w:val="1A1A2E"/>
                <w:sz w:val="20"/>
                <w:szCs w:val="20"/>
              </w:rPr>
              <w:t xml:space="preserve">~380</w:t>
            </w:r>
          </w:p>
        </w:tc>
      </w:tr>
      <w:tr>
        <w:tc>
          <w:tcPr>
            <w:tcW w:type="dxa" w:w="25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3. &lt;body&gt;</w:t>
            </w:r>
          </w:p>
        </w:tc>
        <w:tc>
          <w:tcPr>
            <w:tcW w:type="dxa" w:w="486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10 bloques HTML semánticos</w:t>
            </w:r>
          </w:p>
        </w:tc>
        <w:tc>
          <w:tcPr>
            <w:tcW w:type="dxa" w:w="20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~100</w:t>
            </w:r>
          </w:p>
        </w:tc>
      </w:tr>
      <w:tr>
        <w:tc>
          <w:tcPr>
            <w:tcW w:type="dxa" w:w="2500"/>
            <w:tcBorders>
              <w:top w:val="single" w:color="DDDDEE" w:sz="1"/>
              <w:left w:val="single" w:color="DDDDEE" w:sz="1"/>
              <w:bottom w:val="single" w:color="DDDDEE" w:sz="1"/>
              <w:right w:val="single" w:color="DDDDEE" w:sz="1"/>
            </w:tcBorders>
            <w:shd w:fill="F4F4FA" w:val="clear"/>
            <w:tcMar>
              <w:top w:type="dxa" w:w="80"/>
              <w:left w:type="dxa" w:w="140"/>
              <w:bottom w:type="dxa" w:w="80"/>
              <w:right w:type="dxa" w:w="140"/>
            </w:tcMar>
          </w:tcPr>
          <w:p>
            <w:r>
              <w:rPr>
                <w:rFonts w:ascii="Arial" w:cs="Arial" w:eastAsia="Arial" w:hAnsi="Arial"/>
                <w:color w:val="1A1A2E"/>
                <w:sz w:val="20"/>
                <w:szCs w:val="20"/>
              </w:rPr>
              <w:t xml:space="preserve">4. &lt;script&gt;</w:t>
            </w:r>
          </w:p>
        </w:tc>
        <w:tc>
          <w:tcPr>
            <w:tcW w:type="dxa" w:w="4860"/>
            <w:tcBorders>
              <w:top w:val="single" w:color="DDDDEE" w:sz="1"/>
              <w:left w:val="single" w:color="DDDDEE" w:sz="1"/>
              <w:bottom w:val="single" w:color="DDDDEE" w:sz="1"/>
              <w:right w:val="single" w:color="DDDDEE" w:sz="1"/>
            </w:tcBorders>
            <w:shd w:fill="F4F4FA" w:val="clear"/>
            <w:tcMar>
              <w:top w:type="dxa" w:w="80"/>
              <w:left w:type="dxa" w:w="140"/>
              <w:bottom w:type="dxa" w:w="80"/>
              <w:right w:type="dxa" w:w="140"/>
            </w:tcMar>
          </w:tcPr>
          <w:p>
            <w:r>
              <w:rPr>
                <w:rFonts w:ascii="Arial" w:cs="Arial" w:eastAsia="Arial" w:hAnsi="Arial"/>
                <w:color w:val="1A1A2E"/>
                <w:sz w:val="20"/>
                <w:szCs w:val="20"/>
              </w:rPr>
              <w:t xml:space="preserve">7 módulos lógicos comentados</w:t>
            </w:r>
          </w:p>
        </w:tc>
        <w:tc>
          <w:tcPr>
            <w:tcW w:type="dxa" w:w="2000"/>
            <w:tcBorders>
              <w:top w:val="single" w:color="DDDDEE" w:sz="1"/>
              <w:left w:val="single" w:color="DDDDEE" w:sz="1"/>
              <w:bottom w:val="single" w:color="DDDDEE" w:sz="1"/>
              <w:right w:val="single" w:color="DDDDEE" w:sz="1"/>
            </w:tcBorders>
            <w:shd w:fill="F4F4FA" w:val="clear"/>
            <w:tcMar>
              <w:top w:type="dxa" w:w="80"/>
              <w:left w:type="dxa" w:w="140"/>
              <w:bottom w:type="dxa" w:w="80"/>
              <w:right w:type="dxa" w:w="140"/>
            </w:tcMar>
          </w:tcPr>
          <w:p>
            <w:r>
              <w:rPr>
                <w:rFonts w:ascii="Arial" w:cs="Arial" w:eastAsia="Arial" w:hAnsi="Arial"/>
                <w:color w:val="1A1A2E"/>
                <w:sz w:val="20"/>
                <w:szCs w:val="20"/>
              </w:rPr>
              <w:t xml:space="preserve">~310</w:t>
            </w:r>
          </w:p>
        </w:tc>
      </w:tr>
    </w:tbl>
    <w:p>
      <w:pPr>
        <w:spacing w:before="160" w:after="0"/>
      </w:pPr>
    </w:p>
    <w:p>
      <w:pPr>
        <w:pStyle w:val="Heading2"/>
        <w:spacing w:before="320" w:after="120"/>
      </w:pPr>
      <w:r>
        <w:rPr>
          <w:rFonts w:ascii="Arial" w:cs="Arial" w:eastAsia="Arial" w:hAnsi="Arial"/>
          <w:b/>
          <w:bCs/>
          <w:color w:val="6247CC"/>
          <w:sz w:val="26"/>
          <w:szCs w:val="26"/>
        </w:rPr>
        <w:t xml:space="preserve">2.3 Gestión de Estado</w:t>
      </w:r>
    </w:p>
    <w:p>
      <w:pPr>
        <w:spacing w:before="80" w:after="80"/>
      </w:pPr>
      <w:r>
        <w:rPr>
          <w:rFonts w:ascii="Arial" w:cs="Arial" w:eastAsia="Arial" w:hAnsi="Arial"/>
          <w:color w:val="1A1A2E"/>
          <w:sz w:val="22"/>
          <w:szCs w:val="22"/>
        </w:rPr>
        <w:t xml:space="preserve">Todo el estado mutable de la aplicación vive en el objeto AppState. No se usa ninguna librería de gestión de estado (React, Vue, etc.) — vanilla JavaScript con variables de módulo es suficiente para esta escala.</w:t>
      </w:r>
    </w:p>
    <w:p>
      <w:pPr>
        <w:spacing w:before="80" w:after="0"/>
      </w:pPr>
    </w:p>
    <w:p>
      <w:pPr>
        <w:shd w:fill="F4F4FA" w:val="clear"/>
        <w:spacing w:before="40" w:after="40"/>
        <w:ind w:left="720"/>
      </w:pPr>
      <w:r>
        <w:rPr>
          <w:rFonts w:ascii="Courier New" w:cs="Courier New" w:eastAsia="Courier New" w:hAnsi="Courier New"/>
          <w:color w:val="6247CC"/>
          <w:sz w:val="18"/>
          <w:szCs w:val="18"/>
        </w:rPr>
        <w:t xml:space="preserve">const AppState = {</w:t>
      </w:r>
    </w:p>
    <w:p>
      <w:pPr>
        <w:shd w:fill="F4F4FA" w:val="clear"/>
        <w:spacing w:before="40" w:after="40"/>
        <w:ind w:left="720"/>
      </w:pPr>
      <w:r>
        <w:rPr>
          <w:rFonts w:ascii="Courier New" w:cs="Courier New" w:eastAsia="Courier New" w:hAnsi="Courier New"/>
          <w:color w:val="6247CC"/>
          <w:sz w:val="18"/>
          <w:szCs w:val="18"/>
        </w:rPr>
        <w:t xml:space="preserve">  workbook:     null,   // Objeto workbook de SheetJS</w:t>
      </w:r>
    </w:p>
    <w:p>
      <w:pPr>
        <w:shd w:fill="F4F4FA" w:val="clear"/>
        <w:spacing w:before="40" w:after="40"/>
        <w:ind w:left="720"/>
      </w:pPr>
      <w:r>
        <w:rPr>
          <w:rFonts w:ascii="Courier New" w:cs="Courier New" w:eastAsia="Courier New" w:hAnsi="Courier New"/>
          <w:color w:val="6247CC"/>
          <w:sz w:val="18"/>
          <w:szCs w:val="18"/>
        </w:rPr>
        <w:t xml:space="preserve">  activeSheet:  null,   // Hoja activa seleccionada</w:t>
      </w:r>
    </w:p>
    <w:p>
      <w:pPr>
        <w:shd w:fill="F4F4FA" w:val="clear"/>
        <w:spacing w:before="40" w:after="40"/>
        <w:ind w:left="720"/>
      </w:pPr>
      <w:r>
        <w:rPr>
          <w:rFonts w:ascii="Courier New" w:cs="Courier New" w:eastAsia="Courier New" w:hAnsi="Courier New"/>
          <w:color w:val="6247CC"/>
          <w:sz w:val="18"/>
          <w:szCs w:val="18"/>
        </w:rPr>
        <w:t xml:space="preserve">  fileName:     '',     // Nombre original del archivo</w:t>
      </w:r>
    </w:p>
    <w:p>
      <w:pPr>
        <w:shd w:fill="F4F4FA" w:val="clear"/>
        <w:spacing w:before="40" w:after="40"/>
        <w:ind w:left="720"/>
      </w:pPr>
      <w:r>
        <w:rPr>
          <w:rFonts w:ascii="Courier New" w:cs="Courier New" w:eastAsia="Courier New" w:hAnsi="Courier New"/>
          <w:color w:val="6247CC"/>
          <w:sz w:val="18"/>
          <w:szCs w:val="18"/>
        </w:rPr>
        <w:t xml:space="preserve">  n8nFlowJSON:  '',     // JSON del flujo n8n generado</w:t>
      </w:r>
    </w:p>
    <w:p>
      <w:pPr>
        <w:shd w:fill="F4F4FA" w:val="clear"/>
        <w:spacing w:before="40" w:after="40"/>
        <w:ind w:left="720"/>
      </w:pPr>
      <w:r>
        <w:rPr>
          <w:rFonts w:ascii="Courier New" w:cs="Courier New" w:eastAsia="Courier New" w:hAnsi="Courier New"/>
          <w:color w:val="6247CC"/>
          <w:sz w:val="18"/>
          <w:szCs w:val="18"/>
        </w:rPr>
        <w:t xml:space="preserve">};</w:t>
      </w:r>
    </w:p>
    <w:p>
      <w:r>
        <w:br w:type="page"/>
      </w:r>
    </w:p>
    <w:p>
      <w:pPr>
        <w:pStyle w:val="Heading1"/>
        <w:pBdr>
          <w:bottom w:val="single" w:color="00C87A" w:sz="8" w:space="4"/>
        </w:pBdr>
        <w:spacing w:before="480" w:after="200"/>
      </w:pPr>
      <w:r>
        <w:rPr>
          <w:rFonts w:ascii="Arial" w:cs="Arial" w:eastAsia="Arial" w:hAnsi="Arial"/>
          <w:b/>
          <w:bCs/>
          <w:color w:val="1A1A2E"/>
          <w:sz w:val="32"/>
          <w:szCs w:val="32"/>
        </w:rPr>
        <w:t xml:space="preserve">3. Componentes de la Interfaz</w:t>
      </w:r>
    </w:p>
    <w:p>
      <w:pPr>
        <w:spacing w:before="80" w:after="80"/>
      </w:pPr>
      <w:r>
        <w:rPr>
          <w:rFonts w:ascii="Arial" w:cs="Arial" w:eastAsia="Arial" w:hAnsi="Arial"/>
          <w:color w:val="1A1A2E"/>
          <w:sz w:val="22"/>
          <w:szCs w:val="22"/>
        </w:rPr>
        <w:t xml:space="preserve">Cada componente visual corresponde a una subsección del CSS documentada con un bloque de comentario estandarizado.</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3060"/>
        <w:gridCol w:w="1800"/>
      </w:tblGrid>
      <w:tr>
        <w:trPr>
          <w:tblHeader/>
        </w:trPr>
        <w:tc>
          <w:tcPr>
            <w:tcW w:type="dxa" w:w="2400"/>
            <w:tcBorders>
              <w:top w:val="single" w:color="DDDDEE" w:sz="1"/>
              <w:left w:val="single" w:color="DDDDEE" w:sz="1"/>
              <w:bottom w:val="single" w:color="DDDDEE" w:sz="1"/>
              <w:right w:val="single" w:color="DDDDEE" w:sz="1"/>
            </w:tcBorders>
            <w:shd w:fill="E8E8F6"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ID de Componente</w:t>
            </w:r>
          </w:p>
        </w:tc>
        <w:tc>
          <w:tcPr>
            <w:tcW w:type="dxa" w:w="2100"/>
            <w:tcBorders>
              <w:top w:val="single" w:color="DDDDEE" w:sz="1"/>
              <w:left w:val="single" w:color="DDDDEE" w:sz="1"/>
              <w:bottom w:val="single" w:color="DDDDEE" w:sz="1"/>
              <w:right w:val="single" w:color="DDDDEE" w:sz="1"/>
            </w:tcBorders>
            <w:shd w:fill="E8E8F6"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Elemento HTML</w:t>
            </w:r>
          </w:p>
        </w:tc>
        <w:tc>
          <w:tcPr>
            <w:tcW w:type="dxa" w:w="3060"/>
            <w:tcBorders>
              <w:top w:val="single" w:color="DDDDEE" w:sz="1"/>
              <w:left w:val="single" w:color="DDDDEE" w:sz="1"/>
              <w:bottom w:val="single" w:color="DDDDEE" w:sz="1"/>
              <w:right w:val="single" w:color="DDDDEE" w:sz="1"/>
            </w:tcBorders>
            <w:shd w:fill="E8E8F6"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Propósito</w:t>
            </w:r>
          </w:p>
        </w:tc>
        <w:tc>
          <w:tcPr>
            <w:tcW w:type="dxa" w:w="1800"/>
            <w:tcBorders>
              <w:top w:val="single" w:color="DDDDEE" w:sz="1"/>
              <w:left w:val="single" w:color="DDDDEE" w:sz="1"/>
              <w:bottom w:val="single" w:color="DDDDEE" w:sz="1"/>
              <w:right w:val="single" w:color="DDDDEE" w:sz="1"/>
            </w:tcBorders>
            <w:shd w:fill="E8E8F6"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Estado</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#js-drop-zone</w:t>
            </w:r>
          </w:p>
        </w:tc>
        <w:tc>
          <w:tcPr>
            <w:tcW w:type="dxa" w:w="21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.drop-zone</w:t>
            </w:r>
          </w:p>
        </w:tc>
        <w:tc>
          <w:tcPr>
            <w:tcW w:type="dxa" w:w="306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Carga de archivos por drag &amp; drop o click</w:t>
            </w:r>
          </w:p>
        </w:tc>
        <w:tc>
          <w:tcPr>
            <w:tcW w:type="dxa" w:w="18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Siempre visible</w:t>
            </w:r>
          </w:p>
        </w:tc>
      </w:tr>
      <w:tr>
        <w:tc>
          <w:tcPr>
            <w:tcW w:type="dxa" w:w="2400"/>
            <w:tcBorders>
              <w:top w:val="single" w:color="DDDDEE" w:sz="1"/>
              <w:left w:val="single" w:color="DDDDEE" w:sz="1"/>
              <w:bottom w:val="single" w:color="DDDDEE" w:sz="1"/>
              <w:right w:val="single" w:color="DDDDEE" w:sz="1"/>
            </w:tcBorders>
            <w:shd w:fill="F4F4FA" w:val="clear"/>
            <w:tcMar>
              <w:top w:type="dxa" w:w="80"/>
              <w:left w:type="dxa" w:w="140"/>
              <w:bottom w:type="dxa" w:w="80"/>
              <w:right w:type="dxa" w:w="140"/>
            </w:tcMar>
          </w:tcPr>
          <w:p>
            <w:r>
              <w:rPr>
                <w:rFonts w:ascii="Arial" w:cs="Arial" w:eastAsia="Arial" w:hAnsi="Arial"/>
                <w:color w:val="1A1A2E"/>
                <w:sz w:val="20"/>
                <w:szCs w:val="20"/>
              </w:rPr>
              <w:t xml:space="preserve">#js-progress-bar</w:t>
            </w:r>
          </w:p>
        </w:tc>
        <w:tc>
          <w:tcPr>
            <w:tcW w:type="dxa" w:w="2100"/>
            <w:tcBorders>
              <w:top w:val="single" w:color="DDDDEE" w:sz="1"/>
              <w:left w:val="single" w:color="DDDDEE" w:sz="1"/>
              <w:bottom w:val="single" w:color="DDDDEE" w:sz="1"/>
              <w:right w:val="single" w:color="DDDDEE" w:sz="1"/>
            </w:tcBorders>
            <w:shd w:fill="F4F4FA" w:val="clear"/>
            <w:tcMar>
              <w:top w:type="dxa" w:w="80"/>
              <w:left w:type="dxa" w:w="140"/>
              <w:bottom w:type="dxa" w:w="80"/>
              <w:right w:type="dxa" w:w="140"/>
            </w:tcMar>
          </w:tcPr>
          <w:p>
            <w:r>
              <w:rPr>
                <w:rFonts w:ascii="Arial" w:cs="Arial" w:eastAsia="Arial" w:hAnsi="Arial"/>
                <w:color w:val="1A1A2E"/>
                <w:sz w:val="20"/>
                <w:szCs w:val="20"/>
              </w:rPr>
              <w:t xml:space="preserve">.progress-bar</w:t>
            </w:r>
          </w:p>
        </w:tc>
        <w:tc>
          <w:tcPr>
            <w:tcW w:type="dxa" w:w="3060"/>
            <w:tcBorders>
              <w:top w:val="single" w:color="DDDDEE" w:sz="1"/>
              <w:left w:val="single" w:color="DDDDEE" w:sz="1"/>
              <w:bottom w:val="single" w:color="DDDDEE" w:sz="1"/>
              <w:right w:val="single" w:color="DDDDEE" w:sz="1"/>
            </w:tcBorders>
            <w:shd w:fill="F4F4FA" w:val="clear"/>
            <w:tcMar>
              <w:top w:type="dxa" w:w="80"/>
              <w:left w:type="dxa" w:w="140"/>
              <w:bottom w:type="dxa" w:w="80"/>
              <w:right w:type="dxa" w:w="140"/>
            </w:tcMar>
          </w:tcPr>
          <w:p>
            <w:r>
              <w:rPr>
                <w:rFonts w:ascii="Arial" w:cs="Arial" w:eastAsia="Arial" w:hAnsi="Arial"/>
                <w:color w:val="1A1A2E"/>
                <w:sz w:val="20"/>
                <w:szCs w:val="20"/>
              </w:rPr>
              <w:t xml:space="preserve">Feedback visual del progreso de carga</w:t>
            </w:r>
          </w:p>
        </w:tc>
        <w:tc>
          <w:tcPr>
            <w:tcW w:type="dxa" w:w="1800"/>
            <w:tcBorders>
              <w:top w:val="single" w:color="DDDDEE" w:sz="1"/>
              <w:left w:val="single" w:color="DDDDEE" w:sz="1"/>
              <w:bottom w:val="single" w:color="DDDDEE" w:sz="1"/>
              <w:right w:val="single" w:color="DDDDEE" w:sz="1"/>
            </w:tcBorders>
            <w:shd w:fill="F4F4FA" w:val="clear"/>
            <w:tcMar>
              <w:top w:type="dxa" w:w="80"/>
              <w:left w:type="dxa" w:w="140"/>
              <w:bottom w:type="dxa" w:w="80"/>
              <w:right w:type="dxa" w:w="140"/>
            </w:tcMar>
          </w:tcPr>
          <w:p>
            <w:r>
              <w:rPr>
                <w:rFonts w:ascii="Arial" w:cs="Arial" w:eastAsia="Arial" w:hAnsi="Arial"/>
                <w:color w:val="1A1A2E"/>
                <w:sz w:val="20"/>
                <w:szCs w:val="20"/>
              </w:rPr>
              <w:t xml:space="preserve">Dinámico</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#js-meta-panel</w:t>
            </w:r>
          </w:p>
        </w:tc>
        <w:tc>
          <w:tcPr>
            <w:tcW w:type="dxa" w:w="21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.panel + .meta-grid</w:t>
            </w:r>
          </w:p>
        </w:tc>
        <w:tc>
          <w:tcPr>
            <w:tcW w:type="dxa" w:w="306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Metadatos del archivo (tamaño, hojas, filas)</w:t>
            </w:r>
          </w:p>
        </w:tc>
        <w:tc>
          <w:tcPr>
            <w:tcW w:type="dxa" w:w="18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Post-carga</w:t>
            </w:r>
          </w:p>
        </w:tc>
      </w:tr>
      <w:tr>
        <w:tc>
          <w:tcPr>
            <w:tcW w:type="dxa" w:w="2400"/>
            <w:tcBorders>
              <w:top w:val="single" w:color="DDDDEE" w:sz="1"/>
              <w:left w:val="single" w:color="DDDDEE" w:sz="1"/>
              <w:bottom w:val="single" w:color="DDDDEE" w:sz="1"/>
              <w:right w:val="single" w:color="DDDDEE" w:sz="1"/>
            </w:tcBorders>
            <w:shd w:fill="F4F4FA" w:val="clear"/>
            <w:tcMar>
              <w:top w:type="dxa" w:w="80"/>
              <w:left w:type="dxa" w:w="140"/>
              <w:bottom w:type="dxa" w:w="80"/>
              <w:right w:type="dxa" w:w="140"/>
            </w:tcMar>
          </w:tcPr>
          <w:p>
            <w:r>
              <w:rPr>
                <w:rFonts w:ascii="Arial" w:cs="Arial" w:eastAsia="Arial" w:hAnsi="Arial"/>
                <w:color w:val="1A1A2E"/>
                <w:sz w:val="20"/>
                <w:szCs w:val="20"/>
              </w:rPr>
              <w:t xml:space="preserve">#js-preview-panel</w:t>
            </w:r>
          </w:p>
        </w:tc>
        <w:tc>
          <w:tcPr>
            <w:tcW w:type="dxa" w:w="2100"/>
            <w:tcBorders>
              <w:top w:val="single" w:color="DDDDEE" w:sz="1"/>
              <w:left w:val="single" w:color="DDDDEE" w:sz="1"/>
              <w:bottom w:val="single" w:color="DDDDEE" w:sz="1"/>
              <w:right w:val="single" w:color="DDDDEE" w:sz="1"/>
            </w:tcBorders>
            <w:shd w:fill="F4F4FA" w:val="clear"/>
            <w:tcMar>
              <w:top w:type="dxa" w:w="80"/>
              <w:left w:type="dxa" w:w="140"/>
              <w:bottom w:type="dxa" w:w="80"/>
              <w:right w:type="dxa" w:w="140"/>
            </w:tcMar>
          </w:tcPr>
          <w:p>
            <w:r>
              <w:rPr>
                <w:rFonts w:ascii="Arial" w:cs="Arial" w:eastAsia="Arial" w:hAnsi="Arial"/>
                <w:color w:val="1A1A2E"/>
                <w:sz w:val="20"/>
                <w:szCs w:val="20"/>
              </w:rPr>
              <w:t xml:space="preserve">.panel + table</w:t>
            </w:r>
          </w:p>
        </w:tc>
        <w:tc>
          <w:tcPr>
            <w:tcW w:type="dxa" w:w="3060"/>
            <w:tcBorders>
              <w:top w:val="single" w:color="DDDDEE" w:sz="1"/>
              <w:left w:val="single" w:color="DDDDEE" w:sz="1"/>
              <w:bottom w:val="single" w:color="DDDDEE" w:sz="1"/>
              <w:right w:val="single" w:color="DDDDEE" w:sz="1"/>
            </w:tcBorders>
            <w:shd w:fill="F4F4FA" w:val="clear"/>
            <w:tcMar>
              <w:top w:type="dxa" w:w="80"/>
              <w:left w:type="dxa" w:w="140"/>
              <w:bottom w:type="dxa" w:w="80"/>
              <w:right w:type="dxa" w:w="140"/>
            </w:tcMar>
          </w:tcPr>
          <w:p>
            <w:r>
              <w:rPr>
                <w:rFonts w:ascii="Arial" w:cs="Arial" w:eastAsia="Arial" w:hAnsi="Arial"/>
                <w:color w:val="1A1A2E"/>
                <w:sz w:val="20"/>
                <w:szCs w:val="20"/>
              </w:rPr>
              <w:t xml:space="preserve">Vista previa de los datos (50 filas, 12 cols)</w:t>
            </w:r>
          </w:p>
        </w:tc>
        <w:tc>
          <w:tcPr>
            <w:tcW w:type="dxa" w:w="1800"/>
            <w:tcBorders>
              <w:top w:val="single" w:color="DDDDEE" w:sz="1"/>
              <w:left w:val="single" w:color="DDDDEE" w:sz="1"/>
              <w:bottom w:val="single" w:color="DDDDEE" w:sz="1"/>
              <w:right w:val="single" w:color="DDDDEE" w:sz="1"/>
            </w:tcBorders>
            <w:shd w:fill="F4F4FA" w:val="clear"/>
            <w:tcMar>
              <w:top w:type="dxa" w:w="80"/>
              <w:left w:type="dxa" w:w="140"/>
              <w:bottom w:type="dxa" w:w="80"/>
              <w:right w:type="dxa" w:w="140"/>
            </w:tcMar>
          </w:tcPr>
          <w:p>
            <w:r>
              <w:rPr>
                <w:rFonts w:ascii="Arial" w:cs="Arial" w:eastAsia="Arial" w:hAnsi="Arial"/>
                <w:color w:val="1A1A2E"/>
                <w:sz w:val="20"/>
                <w:szCs w:val="20"/>
              </w:rPr>
              <w:t xml:space="preserve">Post-carga</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#js-sheet-tabs</w:t>
            </w:r>
          </w:p>
        </w:tc>
        <w:tc>
          <w:tcPr>
            <w:tcW w:type="dxa" w:w="21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.sheet-tabs</w:t>
            </w:r>
          </w:p>
        </w:tc>
        <w:tc>
          <w:tcPr>
            <w:tcW w:type="dxa" w:w="306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Selector de hoja activa (si hay &gt; 1 hoja)</w:t>
            </w:r>
          </w:p>
        </w:tc>
        <w:tc>
          <w:tcPr>
            <w:tcW w:type="dxa" w:w="18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Condicional</w:t>
            </w:r>
          </w:p>
        </w:tc>
      </w:tr>
      <w:tr>
        <w:tc>
          <w:tcPr>
            <w:tcW w:type="dxa" w:w="2400"/>
            <w:tcBorders>
              <w:top w:val="single" w:color="DDDDEE" w:sz="1"/>
              <w:left w:val="single" w:color="DDDDEE" w:sz="1"/>
              <w:bottom w:val="single" w:color="DDDDEE" w:sz="1"/>
              <w:right w:val="single" w:color="DDDDEE" w:sz="1"/>
            </w:tcBorders>
            <w:shd w:fill="F4F4FA" w:val="clear"/>
            <w:tcMar>
              <w:top w:type="dxa" w:w="80"/>
              <w:left w:type="dxa" w:w="140"/>
              <w:bottom w:type="dxa" w:w="80"/>
              <w:right w:type="dxa" w:w="140"/>
            </w:tcMar>
          </w:tcPr>
          <w:p>
            <w:r>
              <w:rPr>
                <w:rFonts w:ascii="Arial" w:cs="Arial" w:eastAsia="Arial" w:hAnsi="Arial"/>
                <w:color w:val="1A1A2E"/>
                <w:sz w:val="20"/>
                <w:szCs w:val="20"/>
              </w:rPr>
              <w:t xml:space="preserve">#js-options-panel</w:t>
            </w:r>
          </w:p>
        </w:tc>
        <w:tc>
          <w:tcPr>
            <w:tcW w:type="dxa" w:w="2100"/>
            <w:tcBorders>
              <w:top w:val="single" w:color="DDDDEE" w:sz="1"/>
              <w:left w:val="single" w:color="DDDDEE" w:sz="1"/>
              <w:bottom w:val="single" w:color="DDDDEE" w:sz="1"/>
              <w:right w:val="single" w:color="DDDDEE" w:sz="1"/>
            </w:tcBorders>
            <w:shd w:fill="F4F4FA" w:val="clear"/>
            <w:tcMar>
              <w:top w:type="dxa" w:w="80"/>
              <w:left w:type="dxa" w:w="140"/>
              <w:bottom w:type="dxa" w:w="80"/>
              <w:right w:type="dxa" w:w="140"/>
            </w:tcMar>
          </w:tcPr>
          <w:p>
            <w:r>
              <w:rPr>
                <w:rFonts w:ascii="Arial" w:cs="Arial" w:eastAsia="Arial" w:hAnsi="Arial"/>
                <w:color w:val="1A1A2E"/>
                <w:sz w:val="20"/>
                <w:szCs w:val="20"/>
              </w:rPr>
              <w:t xml:space="preserve">.options-grid</w:t>
            </w:r>
          </w:p>
        </w:tc>
        <w:tc>
          <w:tcPr>
            <w:tcW w:type="dxa" w:w="3060"/>
            <w:tcBorders>
              <w:top w:val="single" w:color="DDDDEE" w:sz="1"/>
              <w:left w:val="single" w:color="DDDDEE" w:sz="1"/>
              <w:bottom w:val="single" w:color="DDDDEE" w:sz="1"/>
              <w:right w:val="single" w:color="DDDDEE" w:sz="1"/>
            </w:tcBorders>
            <w:shd w:fill="F4F4FA" w:val="clear"/>
            <w:tcMar>
              <w:top w:type="dxa" w:w="80"/>
              <w:left w:type="dxa" w:w="140"/>
              <w:bottom w:type="dxa" w:w="80"/>
              <w:right w:type="dxa" w:w="140"/>
            </w:tcMar>
          </w:tcPr>
          <w:p>
            <w:r>
              <w:rPr>
                <w:rFonts w:ascii="Arial" w:cs="Arial" w:eastAsia="Arial" w:hAnsi="Arial"/>
                <w:color w:val="1A1A2E"/>
                <w:sz w:val="20"/>
                <w:szCs w:val="20"/>
              </w:rPr>
              <w:t xml:space="preserve">Cards de configuración de transformaciones</w:t>
            </w:r>
          </w:p>
        </w:tc>
        <w:tc>
          <w:tcPr>
            <w:tcW w:type="dxa" w:w="1800"/>
            <w:tcBorders>
              <w:top w:val="single" w:color="DDDDEE" w:sz="1"/>
              <w:left w:val="single" w:color="DDDDEE" w:sz="1"/>
              <w:bottom w:val="single" w:color="DDDDEE" w:sz="1"/>
              <w:right w:val="single" w:color="DDDDEE" w:sz="1"/>
            </w:tcBorders>
            <w:shd w:fill="F4F4FA" w:val="clear"/>
            <w:tcMar>
              <w:top w:type="dxa" w:w="80"/>
              <w:left w:type="dxa" w:w="140"/>
              <w:bottom w:type="dxa" w:w="80"/>
              <w:right w:type="dxa" w:w="140"/>
            </w:tcMar>
          </w:tcPr>
          <w:p>
            <w:r>
              <w:rPr>
                <w:rFonts w:ascii="Arial" w:cs="Arial" w:eastAsia="Arial" w:hAnsi="Arial"/>
                <w:color w:val="1A1A2E"/>
                <w:sz w:val="20"/>
                <w:szCs w:val="20"/>
              </w:rPr>
              <w:t xml:space="preserve">Post-carga</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#js-actions</w:t>
            </w:r>
          </w:p>
        </w:tc>
        <w:tc>
          <w:tcPr>
            <w:tcW w:type="dxa" w:w="21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.actions</w:t>
            </w:r>
          </w:p>
        </w:tc>
        <w:tc>
          <w:tcPr>
            <w:tcW w:type="dxa" w:w="306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Botones: Exportar, N8N, Reset</w:t>
            </w:r>
          </w:p>
        </w:tc>
        <w:tc>
          <w:tcPr>
            <w:tcW w:type="dxa" w:w="18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Post-carga</w:t>
            </w:r>
          </w:p>
        </w:tc>
      </w:tr>
      <w:tr>
        <w:tc>
          <w:tcPr>
            <w:tcW w:type="dxa" w:w="2400"/>
            <w:tcBorders>
              <w:top w:val="single" w:color="DDDDEE" w:sz="1"/>
              <w:left w:val="single" w:color="DDDDEE" w:sz="1"/>
              <w:bottom w:val="single" w:color="DDDDEE" w:sz="1"/>
              <w:right w:val="single" w:color="DDDDEE" w:sz="1"/>
            </w:tcBorders>
            <w:shd w:fill="F4F4FA" w:val="clear"/>
            <w:tcMar>
              <w:top w:type="dxa" w:w="80"/>
              <w:left w:type="dxa" w:w="140"/>
              <w:bottom w:type="dxa" w:w="80"/>
              <w:right w:type="dxa" w:w="140"/>
            </w:tcMar>
          </w:tcPr>
          <w:p>
            <w:r>
              <w:rPr>
                <w:rFonts w:ascii="Arial" w:cs="Arial" w:eastAsia="Arial" w:hAnsi="Arial"/>
                <w:color w:val="1A1A2E"/>
                <w:sz w:val="20"/>
                <w:szCs w:val="20"/>
              </w:rPr>
              <w:t xml:space="preserve">#js-log</w:t>
            </w:r>
          </w:p>
        </w:tc>
        <w:tc>
          <w:tcPr>
            <w:tcW w:type="dxa" w:w="2100"/>
            <w:tcBorders>
              <w:top w:val="single" w:color="DDDDEE" w:sz="1"/>
              <w:left w:val="single" w:color="DDDDEE" w:sz="1"/>
              <w:bottom w:val="single" w:color="DDDDEE" w:sz="1"/>
              <w:right w:val="single" w:color="DDDDEE" w:sz="1"/>
            </w:tcBorders>
            <w:shd w:fill="F4F4FA" w:val="clear"/>
            <w:tcMar>
              <w:top w:type="dxa" w:w="80"/>
              <w:left w:type="dxa" w:w="140"/>
              <w:bottom w:type="dxa" w:w="80"/>
              <w:right w:type="dxa" w:w="140"/>
            </w:tcMar>
          </w:tcPr>
          <w:p>
            <w:r>
              <w:rPr>
                <w:rFonts w:ascii="Arial" w:cs="Arial" w:eastAsia="Arial" w:hAnsi="Arial"/>
                <w:color w:val="1A1A2E"/>
                <w:sz w:val="20"/>
                <w:szCs w:val="20"/>
              </w:rPr>
              <w:t xml:space="preserve">.log-console</w:t>
            </w:r>
          </w:p>
        </w:tc>
        <w:tc>
          <w:tcPr>
            <w:tcW w:type="dxa" w:w="3060"/>
            <w:tcBorders>
              <w:top w:val="single" w:color="DDDDEE" w:sz="1"/>
              <w:left w:val="single" w:color="DDDDEE" w:sz="1"/>
              <w:bottom w:val="single" w:color="DDDDEE" w:sz="1"/>
              <w:right w:val="single" w:color="DDDDEE" w:sz="1"/>
            </w:tcBorders>
            <w:shd w:fill="F4F4FA" w:val="clear"/>
            <w:tcMar>
              <w:top w:type="dxa" w:w="80"/>
              <w:left w:type="dxa" w:w="140"/>
              <w:bottom w:type="dxa" w:w="80"/>
              <w:right w:type="dxa" w:w="140"/>
            </w:tcMar>
          </w:tcPr>
          <w:p>
            <w:r>
              <w:rPr>
                <w:rFonts w:ascii="Arial" w:cs="Arial" w:eastAsia="Arial" w:hAnsi="Arial"/>
                <w:color w:val="1A1A2E"/>
                <w:sz w:val="20"/>
                <w:szCs w:val="20"/>
              </w:rPr>
              <w:t xml:space="preserve">Consola de actividad en tiempo real</w:t>
            </w:r>
          </w:p>
        </w:tc>
        <w:tc>
          <w:tcPr>
            <w:tcW w:type="dxa" w:w="1800"/>
            <w:tcBorders>
              <w:top w:val="single" w:color="DDDDEE" w:sz="1"/>
              <w:left w:val="single" w:color="DDDDEE" w:sz="1"/>
              <w:bottom w:val="single" w:color="DDDDEE" w:sz="1"/>
              <w:right w:val="single" w:color="DDDDEE" w:sz="1"/>
            </w:tcBorders>
            <w:shd w:fill="F4F4FA" w:val="clear"/>
            <w:tcMar>
              <w:top w:type="dxa" w:w="80"/>
              <w:left w:type="dxa" w:w="140"/>
              <w:bottom w:type="dxa" w:w="80"/>
              <w:right w:type="dxa" w:w="140"/>
            </w:tcMar>
          </w:tcPr>
          <w:p>
            <w:r>
              <w:rPr>
                <w:rFonts w:ascii="Arial" w:cs="Arial" w:eastAsia="Arial" w:hAnsi="Arial"/>
                <w:color w:val="1A1A2E"/>
                <w:sz w:val="20"/>
                <w:szCs w:val="20"/>
              </w:rPr>
              <w:t xml:space="preserve">Dinámico</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#js-n8n-panel</w:t>
            </w:r>
          </w:p>
        </w:tc>
        <w:tc>
          <w:tcPr>
            <w:tcW w:type="dxa" w:w="21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.n8n-panel</w:t>
            </w:r>
          </w:p>
        </w:tc>
        <w:tc>
          <w:tcPr>
            <w:tcW w:type="dxa" w:w="306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Visualización y código del flujo n8n</w:t>
            </w:r>
          </w:p>
        </w:tc>
        <w:tc>
          <w:tcPr>
            <w:tcW w:type="dxa" w:w="18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Post-generación</w:t>
            </w:r>
          </w:p>
        </w:tc>
      </w:tr>
    </w:tbl>
    <w:p>
      <w:pPr>
        <w:spacing w:before="240" w:after="0"/>
      </w:pPr>
    </w:p>
    <w:p>
      <w:pPr>
        <w:pStyle w:val="Heading2"/>
        <w:spacing w:before="320" w:after="120"/>
      </w:pPr>
      <w:r>
        <w:rPr>
          <w:rFonts w:ascii="Arial" w:cs="Arial" w:eastAsia="Arial" w:hAnsi="Arial"/>
          <w:b/>
          <w:bCs/>
          <w:color w:val="6247CC"/>
          <w:sz w:val="26"/>
          <w:szCs w:val="26"/>
        </w:rPr>
        <w:t xml:space="preserve">3.1 Sistema de Diseño — Variables CSS</w:t>
      </w:r>
    </w:p>
    <w:p>
      <w:pPr>
        <w:spacing w:before="80" w:after="80"/>
      </w:pPr>
      <w:r>
        <w:rPr>
          <w:rFonts w:ascii="Arial" w:cs="Arial" w:eastAsia="Arial" w:hAnsi="Arial"/>
          <w:color w:val="1A1A2E"/>
          <w:sz w:val="22"/>
          <w:szCs w:val="22"/>
        </w:rPr>
        <w:t xml:space="preserve">Todos los valores visuales se definen en :root como custom properties. Modificar estas variables actualiza toda la interfaz de forma consistente.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DDDDEE" w:sz="1"/>
              <w:left w:val="single" w:color="DDDDEE" w:sz="1"/>
              <w:bottom w:val="single" w:color="DDDDEE" w:sz="1"/>
              <w:right w:val="single" w:color="DDDDEE" w:sz="1"/>
            </w:tcBorders>
            <w:shd w:fill="E8E8F6"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Variable</w:t>
            </w:r>
          </w:p>
        </w:tc>
        <w:tc>
          <w:tcPr>
            <w:tcW w:type="dxa" w:w="2160"/>
            <w:tcBorders>
              <w:top w:val="single" w:color="DDDDEE" w:sz="1"/>
              <w:left w:val="single" w:color="DDDDEE" w:sz="1"/>
              <w:bottom w:val="single" w:color="DDDDEE" w:sz="1"/>
              <w:right w:val="single" w:color="DDDDEE" w:sz="1"/>
            </w:tcBorders>
            <w:shd w:fill="E8E8F6"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Valor por defecto</w:t>
            </w:r>
          </w:p>
        </w:tc>
        <w:tc>
          <w:tcPr>
            <w:tcW w:type="dxa" w:w="4800"/>
            <w:tcBorders>
              <w:top w:val="single" w:color="DDDDEE" w:sz="1"/>
              <w:left w:val="single" w:color="DDDDEE" w:sz="1"/>
              <w:bottom w:val="single" w:color="DDDDEE" w:sz="1"/>
              <w:right w:val="single" w:color="DDDDEE" w:sz="1"/>
            </w:tcBorders>
            <w:shd w:fill="E8E8F6"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Uso</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--bg</w:t>
            </w:r>
          </w:p>
        </w:tc>
        <w:tc>
          <w:tcPr>
            <w:tcW w:type="dxa" w:w="216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#0A0A0F</w:t>
            </w:r>
          </w:p>
        </w:tc>
        <w:tc>
          <w:tcPr>
            <w:tcW w:type="dxa" w:w="48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Fondo principal de la página</w:t>
            </w:r>
          </w:p>
        </w:tc>
      </w:tr>
      <w:tr>
        <w:tc>
          <w:tcPr>
            <w:tcW w:type="dxa" w:w="2400"/>
            <w:tcBorders>
              <w:top w:val="single" w:color="DDDDEE" w:sz="1"/>
              <w:left w:val="single" w:color="DDDDEE" w:sz="1"/>
              <w:bottom w:val="single" w:color="DDDDEE" w:sz="1"/>
              <w:right w:val="single" w:color="DDDDEE" w:sz="1"/>
            </w:tcBorders>
            <w:shd w:fill="F4F4FA" w:val="clear"/>
            <w:tcMar>
              <w:top w:type="dxa" w:w="80"/>
              <w:left w:type="dxa" w:w="140"/>
              <w:bottom w:type="dxa" w:w="80"/>
              <w:right w:type="dxa" w:w="140"/>
            </w:tcMar>
          </w:tcPr>
          <w:p>
            <w:r>
              <w:rPr>
                <w:rFonts w:ascii="Arial" w:cs="Arial" w:eastAsia="Arial" w:hAnsi="Arial"/>
                <w:color w:val="1A1A2E"/>
                <w:sz w:val="20"/>
                <w:szCs w:val="20"/>
              </w:rPr>
              <w:t xml:space="preserve">--surface</w:t>
            </w:r>
          </w:p>
        </w:tc>
        <w:tc>
          <w:tcPr>
            <w:tcW w:type="dxa" w:w="2160"/>
            <w:tcBorders>
              <w:top w:val="single" w:color="DDDDEE" w:sz="1"/>
              <w:left w:val="single" w:color="DDDDEE" w:sz="1"/>
              <w:bottom w:val="single" w:color="DDDDEE" w:sz="1"/>
              <w:right w:val="single" w:color="DDDDEE" w:sz="1"/>
            </w:tcBorders>
            <w:shd w:fill="F4F4FA" w:val="clear"/>
            <w:tcMar>
              <w:top w:type="dxa" w:w="80"/>
              <w:left w:type="dxa" w:w="140"/>
              <w:bottom w:type="dxa" w:w="80"/>
              <w:right w:type="dxa" w:w="140"/>
            </w:tcMar>
          </w:tcPr>
          <w:p>
            <w:r>
              <w:rPr>
                <w:rFonts w:ascii="Arial" w:cs="Arial" w:eastAsia="Arial" w:hAnsi="Arial"/>
                <w:color w:val="1A1A2E"/>
                <w:sz w:val="20"/>
                <w:szCs w:val="20"/>
              </w:rPr>
              <w:t xml:space="preserve">#111118</w:t>
            </w:r>
          </w:p>
        </w:tc>
        <w:tc>
          <w:tcPr>
            <w:tcW w:type="dxa" w:w="4800"/>
            <w:tcBorders>
              <w:top w:val="single" w:color="DDDDEE" w:sz="1"/>
              <w:left w:val="single" w:color="DDDDEE" w:sz="1"/>
              <w:bottom w:val="single" w:color="DDDDEE" w:sz="1"/>
              <w:right w:val="single" w:color="DDDDEE" w:sz="1"/>
            </w:tcBorders>
            <w:shd w:fill="F4F4FA" w:val="clear"/>
            <w:tcMar>
              <w:top w:type="dxa" w:w="80"/>
              <w:left w:type="dxa" w:w="140"/>
              <w:bottom w:type="dxa" w:w="80"/>
              <w:right w:type="dxa" w:w="140"/>
            </w:tcMar>
          </w:tcPr>
          <w:p>
            <w:r>
              <w:rPr>
                <w:rFonts w:ascii="Arial" w:cs="Arial" w:eastAsia="Arial" w:hAnsi="Arial"/>
                <w:color w:val="1A1A2E"/>
                <w:sz w:val="20"/>
                <w:szCs w:val="20"/>
              </w:rPr>
              <w:t xml:space="preserve">Fondo de tarjetas y paneles</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--accent</w:t>
            </w:r>
          </w:p>
        </w:tc>
        <w:tc>
          <w:tcPr>
            <w:tcW w:type="dxa" w:w="216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#00F5A0</w:t>
            </w:r>
          </w:p>
        </w:tc>
        <w:tc>
          <w:tcPr>
            <w:tcW w:type="dxa" w:w="48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Acciones primarias, estado OK</w:t>
            </w:r>
          </w:p>
        </w:tc>
      </w:tr>
      <w:tr>
        <w:tc>
          <w:tcPr>
            <w:tcW w:type="dxa" w:w="2400"/>
            <w:tcBorders>
              <w:top w:val="single" w:color="DDDDEE" w:sz="1"/>
              <w:left w:val="single" w:color="DDDDEE" w:sz="1"/>
              <w:bottom w:val="single" w:color="DDDDEE" w:sz="1"/>
              <w:right w:val="single" w:color="DDDDEE" w:sz="1"/>
            </w:tcBorders>
            <w:shd w:fill="F4F4FA" w:val="clear"/>
            <w:tcMar>
              <w:top w:type="dxa" w:w="80"/>
              <w:left w:type="dxa" w:w="140"/>
              <w:bottom w:type="dxa" w:w="80"/>
              <w:right w:type="dxa" w:w="140"/>
            </w:tcMar>
          </w:tcPr>
          <w:p>
            <w:r>
              <w:rPr>
                <w:rFonts w:ascii="Arial" w:cs="Arial" w:eastAsia="Arial" w:hAnsi="Arial"/>
                <w:color w:val="1A1A2E"/>
                <w:sz w:val="20"/>
                <w:szCs w:val="20"/>
              </w:rPr>
              <w:t xml:space="preserve">--accent2</w:t>
            </w:r>
          </w:p>
        </w:tc>
        <w:tc>
          <w:tcPr>
            <w:tcW w:type="dxa" w:w="2160"/>
            <w:tcBorders>
              <w:top w:val="single" w:color="DDDDEE" w:sz="1"/>
              <w:left w:val="single" w:color="DDDDEE" w:sz="1"/>
              <w:bottom w:val="single" w:color="DDDDEE" w:sz="1"/>
              <w:right w:val="single" w:color="DDDDEE" w:sz="1"/>
            </w:tcBorders>
            <w:shd w:fill="F4F4FA" w:val="clear"/>
            <w:tcMar>
              <w:top w:type="dxa" w:w="80"/>
              <w:left w:type="dxa" w:w="140"/>
              <w:bottom w:type="dxa" w:w="80"/>
              <w:right w:type="dxa" w:w="140"/>
            </w:tcMar>
          </w:tcPr>
          <w:p>
            <w:r>
              <w:rPr>
                <w:rFonts w:ascii="Arial" w:cs="Arial" w:eastAsia="Arial" w:hAnsi="Arial"/>
                <w:color w:val="1A1A2E"/>
                <w:sz w:val="20"/>
                <w:szCs w:val="20"/>
              </w:rPr>
              <w:t xml:space="preserve">#7B61FF</w:t>
            </w:r>
          </w:p>
        </w:tc>
        <w:tc>
          <w:tcPr>
            <w:tcW w:type="dxa" w:w="4800"/>
            <w:tcBorders>
              <w:top w:val="single" w:color="DDDDEE" w:sz="1"/>
              <w:left w:val="single" w:color="DDDDEE" w:sz="1"/>
              <w:bottom w:val="single" w:color="DDDDEE" w:sz="1"/>
              <w:right w:val="single" w:color="DDDDEE" w:sz="1"/>
            </w:tcBorders>
            <w:shd w:fill="F4F4FA" w:val="clear"/>
            <w:tcMar>
              <w:top w:type="dxa" w:w="80"/>
              <w:left w:type="dxa" w:w="140"/>
              <w:bottom w:type="dxa" w:w="80"/>
              <w:right w:type="dxa" w:w="140"/>
            </w:tcMar>
          </w:tcPr>
          <w:p>
            <w:r>
              <w:rPr>
                <w:rFonts w:ascii="Arial" w:cs="Arial" w:eastAsia="Arial" w:hAnsi="Arial"/>
                <w:color w:val="1A1A2E"/>
                <w:sz w:val="20"/>
                <w:szCs w:val="20"/>
              </w:rPr>
              <w:t xml:space="preserve">N8N, información, estados activos</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--accent3</w:t>
            </w:r>
          </w:p>
        </w:tc>
        <w:tc>
          <w:tcPr>
            <w:tcW w:type="dxa" w:w="216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#FF6B6B</w:t>
            </w:r>
          </w:p>
        </w:tc>
        <w:tc>
          <w:tcPr>
            <w:tcW w:type="dxa" w:w="48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Errores y advertencias</w:t>
            </w:r>
          </w:p>
        </w:tc>
      </w:tr>
      <w:tr>
        <w:tc>
          <w:tcPr>
            <w:tcW w:type="dxa" w:w="2400"/>
            <w:tcBorders>
              <w:top w:val="single" w:color="DDDDEE" w:sz="1"/>
              <w:left w:val="single" w:color="DDDDEE" w:sz="1"/>
              <w:bottom w:val="single" w:color="DDDDEE" w:sz="1"/>
              <w:right w:val="single" w:color="DDDDEE" w:sz="1"/>
            </w:tcBorders>
            <w:shd w:fill="F4F4FA" w:val="clear"/>
            <w:tcMar>
              <w:top w:type="dxa" w:w="80"/>
              <w:left w:type="dxa" w:w="140"/>
              <w:bottom w:type="dxa" w:w="80"/>
              <w:right w:type="dxa" w:w="140"/>
            </w:tcMar>
          </w:tcPr>
          <w:p>
            <w:r>
              <w:rPr>
                <w:rFonts w:ascii="Arial" w:cs="Arial" w:eastAsia="Arial" w:hAnsi="Arial"/>
                <w:color w:val="1A1A2E"/>
                <w:sz w:val="20"/>
                <w:szCs w:val="20"/>
              </w:rPr>
              <w:t xml:space="preserve">--mono</w:t>
            </w:r>
          </w:p>
        </w:tc>
        <w:tc>
          <w:tcPr>
            <w:tcW w:type="dxa" w:w="2160"/>
            <w:tcBorders>
              <w:top w:val="single" w:color="DDDDEE" w:sz="1"/>
              <w:left w:val="single" w:color="DDDDEE" w:sz="1"/>
              <w:bottom w:val="single" w:color="DDDDEE" w:sz="1"/>
              <w:right w:val="single" w:color="DDDDEE" w:sz="1"/>
            </w:tcBorders>
            <w:shd w:fill="F4F4FA" w:val="clear"/>
            <w:tcMar>
              <w:top w:type="dxa" w:w="80"/>
              <w:left w:type="dxa" w:w="140"/>
              <w:bottom w:type="dxa" w:w="80"/>
              <w:right w:type="dxa" w:w="140"/>
            </w:tcMar>
          </w:tcPr>
          <w:p>
            <w:r>
              <w:rPr>
                <w:rFonts w:ascii="Arial" w:cs="Arial" w:eastAsia="Arial" w:hAnsi="Arial"/>
                <w:color w:val="1A1A2E"/>
                <w:sz w:val="20"/>
                <w:szCs w:val="20"/>
              </w:rPr>
              <w:t xml:space="preserve">Space Mono</w:t>
            </w:r>
          </w:p>
        </w:tc>
        <w:tc>
          <w:tcPr>
            <w:tcW w:type="dxa" w:w="4800"/>
            <w:tcBorders>
              <w:top w:val="single" w:color="DDDDEE" w:sz="1"/>
              <w:left w:val="single" w:color="DDDDEE" w:sz="1"/>
              <w:bottom w:val="single" w:color="DDDDEE" w:sz="1"/>
              <w:right w:val="single" w:color="DDDDEE" w:sz="1"/>
            </w:tcBorders>
            <w:shd w:fill="F4F4FA" w:val="clear"/>
            <w:tcMar>
              <w:top w:type="dxa" w:w="80"/>
              <w:left w:type="dxa" w:w="140"/>
              <w:bottom w:type="dxa" w:w="80"/>
              <w:right w:type="dxa" w:w="140"/>
            </w:tcMar>
          </w:tcPr>
          <w:p>
            <w:r>
              <w:rPr>
                <w:rFonts w:ascii="Arial" w:cs="Arial" w:eastAsia="Arial" w:hAnsi="Arial"/>
                <w:color w:val="1A1A2E"/>
                <w:sz w:val="20"/>
                <w:szCs w:val="20"/>
              </w:rPr>
              <w:t xml:space="preserve">Texto de código, logs, labels</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--sans</w:t>
            </w:r>
          </w:p>
        </w:tc>
        <w:tc>
          <w:tcPr>
            <w:tcW w:type="dxa" w:w="216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Syne</w:t>
            </w:r>
          </w:p>
        </w:tc>
        <w:tc>
          <w:tcPr>
            <w:tcW w:type="dxa" w:w="48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Texto general y títulos</w:t>
            </w:r>
          </w:p>
        </w:tc>
      </w:tr>
    </w:tbl>
    <w:p>
      <w:r>
        <w:br w:type="page"/>
      </w:r>
    </w:p>
    <w:p>
      <w:pPr>
        <w:pStyle w:val="Heading1"/>
        <w:pBdr>
          <w:bottom w:val="single" w:color="00C87A" w:sz="8" w:space="4"/>
        </w:pBdr>
        <w:spacing w:before="480" w:after="200"/>
      </w:pPr>
      <w:r>
        <w:rPr>
          <w:rFonts w:ascii="Arial" w:cs="Arial" w:eastAsia="Arial" w:hAnsi="Arial"/>
          <w:b/>
          <w:bCs/>
          <w:color w:val="1A1A2E"/>
          <w:sz w:val="32"/>
          <w:szCs w:val="32"/>
        </w:rPr>
        <w:t xml:space="preserve">4. Pipeline ETL — Flujo de Datos</w:t>
      </w:r>
    </w:p>
    <w:p>
      <w:pPr>
        <w:spacing w:before="80" w:after="80"/>
      </w:pPr>
      <w:r>
        <w:rPr>
          <w:rFonts w:ascii="Arial" w:cs="Arial" w:eastAsia="Arial" w:hAnsi="Arial"/>
          <w:color w:val="1A1A2E"/>
          <w:sz w:val="22"/>
          <w:szCs w:val="22"/>
        </w:rPr>
        <w:t xml:space="preserve">El proceso ETL se divide en 4 pasos visualizados en el indicador de pipeline. Cada paso tiene una función JavaScript asociada.</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2700"/>
        <w:gridCol w:w="4160"/>
      </w:tblGrid>
      <w:tr>
        <w:trPr>
          <w:tblHeader/>
        </w:trPr>
        <w:tc>
          <w:tcPr>
            <w:tcW w:type="dxa" w:w="700"/>
            <w:tcBorders>
              <w:top w:val="single" w:color="DDDDEE" w:sz="1"/>
              <w:left w:val="single" w:color="DDDDEE" w:sz="1"/>
              <w:bottom w:val="single" w:color="DDDDEE" w:sz="1"/>
              <w:right w:val="single" w:color="DDDDEE" w:sz="1"/>
            </w:tcBorders>
            <w:shd w:fill="E8E8F6"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Paso</w:t>
            </w:r>
          </w:p>
        </w:tc>
        <w:tc>
          <w:tcPr>
            <w:tcW w:type="dxa" w:w="1800"/>
            <w:tcBorders>
              <w:top w:val="single" w:color="DDDDEE" w:sz="1"/>
              <w:left w:val="single" w:color="DDDDEE" w:sz="1"/>
              <w:bottom w:val="single" w:color="DDDDEE" w:sz="1"/>
              <w:right w:val="single" w:color="DDDDEE" w:sz="1"/>
            </w:tcBorders>
            <w:shd w:fill="E8E8F6"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Nombre</w:t>
            </w:r>
          </w:p>
        </w:tc>
        <w:tc>
          <w:tcPr>
            <w:tcW w:type="dxa" w:w="2700"/>
            <w:tcBorders>
              <w:top w:val="single" w:color="DDDDEE" w:sz="1"/>
              <w:left w:val="single" w:color="DDDDEE" w:sz="1"/>
              <w:bottom w:val="single" w:color="DDDDEE" w:sz="1"/>
              <w:right w:val="single" w:color="DDDDEE" w:sz="1"/>
            </w:tcBorders>
            <w:shd w:fill="E8E8F6"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Función JS</w:t>
            </w:r>
          </w:p>
        </w:tc>
        <w:tc>
          <w:tcPr>
            <w:tcW w:type="dxa" w:w="4160"/>
            <w:tcBorders>
              <w:top w:val="single" w:color="DDDDEE" w:sz="1"/>
              <w:left w:val="single" w:color="DDDDEE" w:sz="1"/>
              <w:bottom w:val="single" w:color="DDDDEE" w:sz="1"/>
              <w:right w:val="single" w:color="DDDDEE" w:sz="1"/>
            </w:tcBorders>
            <w:shd w:fill="E8E8F6"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Descripción</w:t>
            </w:r>
          </w:p>
        </w:tc>
      </w:tr>
      <w:tr>
        <w:tc>
          <w:tcPr>
            <w:tcW w:type="dxa" w:w="7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01</w:t>
            </w:r>
          </w:p>
        </w:tc>
        <w:tc>
          <w:tcPr>
            <w:tcW w:type="dxa" w:w="18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EXTRACT</w:t>
            </w:r>
          </w:p>
        </w:tc>
        <w:tc>
          <w:tcPr>
            <w:tcW w:type="dxa" w:w="27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handleFile()</w:t>
            </w:r>
          </w:p>
        </w:tc>
        <w:tc>
          <w:tcPr>
            <w:tcW w:type="dxa" w:w="416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FileReader lee el archivo XLS/XLSX como ArrayBuffer y SheetJS lo parsea en un objeto Workbook</w:t>
            </w:r>
          </w:p>
        </w:tc>
      </w:tr>
      <w:tr>
        <w:tc>
          <w:tcPr>
            <w:tcW w:type="dxa" w:w="700"/>
            <w:tcBorders>
              <w:top w:val="single" w:color="DDDDEE" w:sz="1"/>
              <w:left w:val="single" w:color="DDDDEE" w:sz="1"/>
              <w:bottom w:val="single" w:color="DDDDEE" w:sz="1"/>
              <w:right w:val="single" w:color="DDDDEE" w:sz="1"/>
            </w:tcBorders>
            <w:shd w:fill="F4F4FA" w:val="clear"/>
            <w:tcMar>
              <w:top w:type="dxa" w:w="80"/>
              <w:left w:type="dxa" w:w="140"/>
              <w:bottom w:type="dxa" w:w="80"/>
              <w:right w:type="dxa" w:w="140"/>
            </w:tcMar>
          </w:tcPr>
          <w:p>
            <w:r>
              <w:rPr>
                <w:rFonts w:ascii="Arial" w:cs="Arial" w:eastAsia="Arial" w:hAnsi="Arial"/>
                <w:color w:val="1A1A2E"/>
                <w:sz w:val="20"/>
                <w:szCs w:val="20"/>
              </w:rPr>
              <w:t xml:space="preserve">02</w:t>
            </w:r>
          </w:p>
        </w:tc>
        <w:tc>
          <w:tcPr>
            <w:tcW w:type="dxa" w:w="1800"/>
            <w:tcBorders>
              <w:top w:val="single" w:color="DDDDEE" w:sz="1"/>
              <w:left w:val="single" w:color="DDDDEE" w:sz="1"/>
              <w:bottom w:val="single" w:color="DDDDEE" w:sz="1"/>
              <w:right w:val="single" w:color="DDDDEE" w:sz="1"/>
            </w:tcBorders>
            <w:shd w:fill="F4F4FA" w:val="clear"/>
            <w:tcMar>
              <w:top w:type="dxa" w:w="80"/>
              <w:left w:type="dxa" w:w="140"/>
              <w:bottom w:type="dxa" w:w="80"/>
              <w:right w:type="dxa" w:w="140"/>
            </w:tcMar>
          </w:tcPr>
          <w:p>
            <w:r>
              <w:rPr>
                <w:rFonts w:ascii="Arial" w:cs="Arial" w:eastAsia="Arial" w:hAnsi="Arial"/>
                <w:color w:val="1A1A2E"/>
                <w:sz w:val="20"/>
                <w:szCs w:val="20"/>
              </w:rPr>
              <w:t xml:space="preserve">TRANSFORM</w:t>
            </w:r>
          </w:p>
        </w:tc>
        <w:tc>
          <w:tcPr>
            <w:tcW w:type="dxa" w:w="2700"/>
            <w:tcBorders>
              <w:top w:val="single" w:color="DDDDEE" w:sz="1"/>
              <w:left w:val="single" w:color="DDDDEE" w:sz="1"/>
              <w:bottom w:val="single" w:color="DDDDEE" w:sz="1"/>
              <w:right w:val="single" w:color="DDDDEE" w:sz="1"/>
            </w:tcBorders>
            <w:shd w:fill="F4F4FA" w:val="clear"/>
            <w:tcMar>
              <w:top w:type="dxa" w:w="80"/>
              <w:left w:type="dxa" w:w="140"/>
              <w:bottom w:type="dxa" w:w="80"/>
              <w:right w:type="dxa" w:w="140"/>
            </w:tcMar>
          </w:tcPr>
          <w:p>
            <w:r>
              <w:rPr>
                <w:rFonts w:ascii="Arial" w:cs="Arial" w:eastAsia="Arial" w:hAnsi="Arial"/>
                <w:color w:val="1A1A2E"/>
                <w:sz w:val="20"/>
                <w:szCs w:val="20"/>
              </w:rPr>
              <w:t xml:space="preserve">applyTransformations()</w:t>
            </w:r>
          </w:p>
        </w:tc>
        <w:tc>
          <w:tcPr>
            <w:tcW w:type="dxa" w:w="4160"/>
            <w:tcBorders>
              <w:top w:val="single" w:color="DDDDEE" w:sz="1"/>
              <w:left w:val="single" w:color="DDDDEE" w:sz="1"/>
              <w:bottom w:val="single" w:color="DDDDEE" w:sz="1"/>
              <w:right w:val="single" w:color="DDDDEE" w:sz="1"/>
            </w:tcBorders>
            <w:shd w:fill="F4F4FA" w:val="clear"/>
            <w:tcMar>
              <w:top w:type="dxa" w:w="80"/>
              <w:left w:type="dxa" w:w="140"/>
              <w:bottom w:type="dxa" w:w="80"/>
              <w:right w:type="dxa" w:w="140"/>
            </w:tcMar>
          </w:tcPr>
          <w:p>
            <w:r>
              <w:rPr>
                <w:rFonts w:ascii="Arial" w:cs="Arial" w:eastAsia="Arial" w:hAnsi="Arial"/>
                <w:color w:val="1A1A2E"/>
                <w:sz w:val="20"/>
                <w:szCs w:val="20"/>
              </w:rPr>
              <w:t xml:space="preserve">Aplica las opciones seleccionadas: trim, filtro de vacíos, inclusión de encabezados</w:t>
            </w:r>
          </w:p>
        </w:tc>
      </w:tr>
      <w:tr>
        <w:tc>
          <w:tcPr>
            <w:tcW w:type="dxa" w:w="7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03</w:t>
            </w:r>
          </w:p>
        </w:tc>
        <w:tc>
          <w:tcPr>
            <w:tcW w:type="dxa" w:w="18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EXPORT CSV</w:t>
            </w:r>
          </w:p>
        </w:tc>
        <w:tc>
          <w:tcPr>
            <w:tcW w:type="dxa" w:w="27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exportToCSV()</w:t>
            </w:r>
          </w:p>
        </w:tc>
        <w:tc>
          <w:tcPr>
            <w:tcW w:type="dxa" w:w="416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Construye el string CSV con escape RFC 4180, añade BOM UTF-8 y dispara la descarga</w:t>
            </w:r>
          </w:p>
        </w:tc>
      </w:tr>
      <w:tr>
        <w:tc>
          <w:tcPr>
            <w:tcW w:type="dxa" w:w="700"/>
            <w:tcBorders>
              <w:top w:val="single" w:color="DDDDEE" w:sz="1"/>
              <w:left w:val="single" w:color="DDDDEE" w:sz="1"/>
              <w:bottom w:val="single" w:color="DDDDEE" w:sz="1"/>
              <w:right w:val="single" w:color="DDDDEE" w:sz="1"/>
            </w:tcBorders>
            <w:shd w:fill="F4F4FA" w:val="clear"/>
            <w:tcMar>
              <w:top w:type="dxa" w:w="80"/>
              <w:left w:type="dxa" w:w="140"/>
              <w:bottom w:type="dxa" w:w="80"/>
              <w:right w:type="dxa" w:w="140"/>
            </w:tcMar>
          </w:tcPr>
          <w:p>
            <w:r>
              <w:rPr>
                <w:rFonts w:ascii="Arial" w:cs="Arial" w:eastAsia="Arial" w:hAnsi="Arial"/>
                <w:color w:val="1A1A2E"/>
                <w:sz w:val="20"/>
                <w:szCs w:val="20"/>
              </w:rPr>
              <w:t xml:space="preserve">04</w:t>
            </w:r>
          </w:p>
        </w:tc>
        <w:tc>
          <w:tcPr>
            <w:tcW w:type="dxa" w:w="1800"/>
            <w:tcBorders>
              <w:top w:val="single" w:color="DDDDEE" w:sz="1"/>
              <w:left w:val="single" w:color="DDDDEE" w:sz="1"/>
              <w:bottom w:val="single" w:color="DDDDEE" w:sz="1"/>
              <w:right w:val="single" w:color="DDDDEE" w:sz="1"/>
            </w:tcBorders>
            <w:shd w:fill="F4F4FA" w:val="clear"/>
            <w:tcMar>
              <w:top w:type="dxa" w:w="80"/>
              <w:left w:type="dxa" w:w="140"/>
              <w:bottom w:type="dxa" w:w="80"/>
              <w:right w:type="dxa" w:w="140"/>
            </w:tcMar>
          </w:tcPr>
          <w:p>
            <w:r>
              <w:rPr>
                <w:rFonts w:ascii="Arial" w:cs="Arial" w:eastAsia="Arial" w:hAnsi="Arial"/>
                <w:color w:val="1A1A2E"/>
                <w:sz w:val="20"/>
                <w:szCs w:val="20"/>
              </w:rPr>
              <w:t xml:space="preserve">N8N FLOW</w:t>
            </w:r>
          </w:p>
        </w:tc>
        <w:tc>
          <w:tcPr>
            <w:tcW w:type="dxa" w:w="2700"/>
            <w:tcBorders>
              <w:top w:val="single" w:color="DDDDEE" w:sz="1"/>
              <w:left w:val="single" w:color="DDDDEE" w:sz="1"/>
              <w:bottom w:val="single" w:color="DDDDEE" w:sz="1"/>
              <w:right w:val="single" w:color="DDDDEE" w:sz="1"/>
            </w:tcBorders>
            <w:shd w:fill="F4F4FA" w:val="clear"/>
            <w:tcMar>
              <w:top w:type="dxa" w:w="80"/>
              <w:left w:type="dxa" w:w="140"/>
              <w:bottom w:type="dxa" w:w="80"/>
              <w:right w:type="dxa" w:w="140"/>
            </w:tcMar>
          </w:tcPr>
          <w:p>
            <w:r>
              <w:rPr>
                <w:rFonts w:ascii="Arial" w:cs="Arial" w:eastAsia="Arial" w:hAnsi="Arial"/>
                <w:color w:val="1A1A2E"/>
                <w:sz w:val="20"/>
                <w:szCs w:val="20"/>
              </w:rPr>
              <w:t xml:space="preserve">generateN8nFlow()</w:t>
            </w:r>
          </w:p>
        </w:tc>
        <w:tc>
          <w:tcPr>
            <w:tcW w:type="dxa" w:w="4160"/>
            <w:tcBorders>
              <w:top w:val="single" w:color="DDDDEE" w:sz="1"/>
              <w:left w:val="single" w:color="DDDDEE" w:sz="1"/>
              <w:bottom w:val="single" w:color="DDDDEE" w:sz="1"/>
              <w:right w:val="single" w:color="DDDDEE" w:sz="1"/>
            </w:tcBorders>
            <w:shd w:fill="F4F4FA" w:val="clear"/>
            <w:tcMar>
              <w:top w:type="dxa" w:w="80"/>
              <w:left w:type="dxa" w:w="140"/>
              <w:bottom w:type="dxa" w:w="80"/>
              <w:right w:type="dxa" w:w="140"/>
            </w:tcMar>
          </w:tcPr>
          <w:p>
            <w:r>
              <w:rPr>
                <w:rFonts w:ascii="Arial" w:cs="Arial" w:eastAsia="Arial" w:hAnsi="Arial"/>
                <w:color w:val="1A1A2E"/>
                <w:sz w:val="20"/>
                <w:szCs w:val="20"/>
              </w:rPr>
              <w:t xml:space="preserve">Genera el JSON del workflow n8n con 5 nodos y lo muestra con syntax highlighting</w:t>
            </w:r>
          </w:p>
        </w:tc>
      </w:tr>
    </w:tbl>
    <w:p>
      <w:pPr>
        <w:spacing w:before="240" w:after="0"/>
      </w:pPr>
    </w:p>
    <w:p>
      <w:pPr>
        <w:pStyle w:val="Heading2"/>
        <w:spacing w:before="320" w:after="120"/>
      </w:pPr>
      <w:r>
        <w:rPr>
          <w:rFonts w:ascii="Arial" w:cs="Arial" w:eastAsia="Arial" w:hAnsi="Arial"/>
          <w:b/>
          <w:bCs/>
          <w:color w:val="6247CC"/>
          <w:sz w:val="26"/>
          <w:szCs w:val="26"/>
        </w:rPr>
        <w:t xml:space="preserve">4.1 Transformaciones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rPr>
          <w:tblHeader/>
        </w:trPr>
        <w:tc>
          <w:tcPr>
            <w:tcW w:type="dxa" w:w="2200"/>
            <w:tcBorders>
              <w:top w:val="single" w:color="DDDDEE" w:sz="1"/>
              <w:left w:val="single" w:color="DDDDEE" w:sz="1"/>
              <w:bottom w:val="single" w:color="DDDDEE" w:sz="1"/>
              <w:right w:val="single" w:color="DDDDEE" w:sz="1"/>
            </w:tcBorders>
            <w:shd w:fill="E8E8F6"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ID Opción</w:t>
            </w:r>
          </w:p>
        </w:tc>
        <w:tc>
          <w:tcPr>
            <w:tcW w:type="dxa" w:w="5000"/>
            <w:tcBorders>
              <w:top w:val="single" w:color="DDDDEE" w:sz="1"/>
              <w:left w:val="single" w:color="DDDDEE" w:sz="1"/>
              <w:bottom w:val="single" w:color="DDDDEE" w:sz="1"/>
              <w:right w:val="single" w:color="DDDDEE" w:sz="1"/>
            </w:tcBorders>
            <w:shd w:fill="E8E8F6"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Comportamiento</w:t>
            </w:r>
          </w:p>
        </w:tc>
        <w:tc>
          <w:tcPr>
            <w:tcW w:type="dxa" w:w="2160"/>
            <w:tcBorders>
              <w:top w:val="single" w:color="DDDDEE" w:sz="1"/>
              <w:left w:val="single" w:color="DDDDEE" w:sz="1"/>
              <w:bottom w:val="single" w:color="DDDDEE" w:sz="1"/>
              <w:right w:val="single" w:color="DDDDEE" w:sz="1"/>
            </w:tcBorders>
            <w:shd w:fill="E8E8F6"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Por defecto</w:t>
            </w:r>
          </w:p>
        </w:tc>
      </w:tr>
      <w:tr>
        <w:tc>
          <w:tcPr>
            <w:tcW w:type="dxa" w:w="22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opt-utf8</w:t>
            </w:r>
          </w:p>
        </w:tc>
        <w:tc>
          <w:tcPr>
            <w:tcW w:type="dxa" w:w="50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Añade BOM (\uFEFF) al inicio del CSV para compatibilidad con Excel</w:t>
            </w:r>
          </w:p>
        </w:tc>
        <w:tc>
          <w:tcPr>
            <w:tcW w:type="dxa" w:w="216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Activado</w:t>
            </w:r>
          </w:p>
        </w:tc>
      </w:tr>
      <w:tr>
        <w:tc>
          <w:tcPr>
            <w:tcW w:type="dxa" w:w="2200"/>
            <w:tcBorders>
              <w:top w:val="single" w:color="DDDDEE" w:sz="1"/>
              <w:left w:val="single" w:color="DDDDEE" w:sz="1"/>
              <w:bottom w:val="single" w:color="DDDDEE" w:sz="1"/>
              <w:right w:val="single" w:color="DDDDEE" w:sz="1"/>
            </w:tcBorders>
            <w:shd w:fill="F4F4FA" w:val="clear"/>
            <w:tcMar>
              <w:top w:type="dxa" w:w="80"/>
              <w:left w:type="dxa" w:w="140"/>
              <w:bottom w:type="dxa" w:w="80"/>
              <w:right w:type="dxa" w:w="140"/>
            </w:tcMar>
          </w:tcPr>
          <w:p>
            <w:r>
              <w:rPr>
                <w:rFonts w:ascii="Arial" w:cs="Arial" w:eastAsia="Arial" w:hAnsi="Arial"/>
                <w:color w:val="1A1A2E"/>
                <w:sz w:val="20"/>
                <w:szCs w:val="20"/>
              </w:rPr>
              <w:t xml:space="preserve">opt-trim</w:t>
            </w:r>
          </w:p>
        </w:tc>
        <w:tc>
          <w:tcPr>
            <w:tcW w:type="dxa" w:w="5000"/>
            <w:tcBorders>
              <w:top w:val="single" w:color="DDDDEE" w:sz="1"/>
              <w:left w:val="single" w:color="DDDDEE" w:sz="1"/>
              <w:bottom w:val="single" w:color="DDDDEE" w:sz="1"/>
              <w:right w:val="single" w:color="DDDDEE" w:sz="1"/>
            </w:tcBorders>
            <w:shd w:fill="F4F4FA" w:val="clear"/>
            <w:tcMar>
              <w:top w:type="dxa" w:w="80"/>
              <w:left w:type="dxa" w:w="140"/>
              <w:bottom w:type="dxa" w:w="80"/>
              <w:right w:type="dxa" w:w="140"/>
            </w:tcMar>
          </w:tcPr>
          <w:p>
            <w:r>
              <w:rPr>
                <w:rFonts w:ascii="Arial" w:cs="Arial" w:eastAsia="Arial" w:hAnsi="Arial"/>
                <w:color w:val="1A1A2E"/>
                <w:sz w:val="20"/>
                <w:szCs w:val="20"/>
              </w:rPr>
              <w:t xml:space="preserve">Aplica String.trim() a todas las celdas de tipo texto</w:t>
            </w:r>
          </w:p>
        </w:tc>
        <w:tc>
          <w:tcPr>
            <w:tcW w:type="dxa" w:w="2160"/>
            <w:tcBorders>
              <w:top w:val="single" w:color="DDDDEE" w:sz="1"/>
              <w:left w:val="single" w:color="DDDDEE" w:sz="1"/>
              <w:bottom w:val="single" w:color="DDDDEE" w:sz="1"/>
              <w:right w:val="single" w:color="DDDDEE" w:sz="1"/>
            </w:tcBorders>
            <w:shd w:fill="F4F4FA" w:val="clear"/>
            <w:tcMar>
              <w:top w:type="dxa" w:w="80"/>
              <w:left w:type="dxa" w:w="140"/>
              <w:bottom w:type="dxa" w:w="80"/>
              <w:right w:type="dxa" w:w="140"/>
            </w:tcMar>
          </w:tcPr>
          <w:p>
            <w:r>
              <w:rPr>
                <w:rFonts w:ascii="Arial" w:cs="Arial" w:eastAsia="Arial" w:hAnsi="Arial"/>
                <w:color w:val="1A1A2E"/>
                <w:sz w:val="20"/>
                <w:szCs w:val="20"/>
              </w:rPr>
              <w:t xml:space="preserve">Activado</w:t>
            </w:r>
          </w:p>
        </w:tc>
      </w:tr>
      <w:tr>
        <w:tc>
          <w:tcPr>
            <w:tcW w:type="dxa" w:w="22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opt-headers</w:t>
            </w:r>
          </w:p>
        </w:tc>
        <w:tc>
          <w:tcPr>
            <w:tcW w:type="dxa" w:w="50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Incluye la primera fila como encabezados en el CSV de salida</w:t>
            </w:r>
          </w:p>
        </w:tc>
        <w:tc>
          <w:tcPr>
            <w:tcW w:type="dxa" w:w="216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Activado</w:t>
            </w:r>
          </w:p>
        </w:tc>
      </w:tr>
      <w:tr>
        <w:tc>
          <w:tcPr>
            <w:tcW w:type="dxa" w:w="2200"/>
            <w:tcBorders>
              <w:top w:val="single" w:color="DDDDEE" w:sz="1"/>
              <w:left w:val="single" w:color="DDDDEE" w:sz="1"/>
              <w:bottom w:val="single" w:color="DDDDEE" w:sz="1"/>
              <w:right w:val="single" w:color="DDDDEE" w:sz="1"/>
            </w:tcBorders>
            <w:shd w:fill="F4F4FA" w:val="clear"/>
            <w:tcMar>
              <w:top w:type="dxa" w:w="80"/>
              <w:left w:type="dxa" w:w="140"/>
              <w:bottom w:type="dxa" w:w="80"/>
              <w:right w:type="dxa" w:w="140"/>
            </w:tcMar>
          </w:tcPr>
          <w:p>
            <w:r>
              <w:rPr>
                <w:rFonts w:ascii="Arial" w:cs="Arial" w:eastAsia="Arial" w:hAnsi="Arial"/>
                <w:color w:val="1A1A2E"/>
                <w:sz w:val="20"/>
                <w:szCs w:val="20"/>
              </w:rPr>
              <w:t xml:space="preserve">opt-empty</w:t>
            </w:r>
          </w:p>
        </w:tc>
        <w:tc>
          <w:tcPr>
            <w:tcW w:type="dxa" w:w="5000"/>
            <w:tcBorders>
              <w:top w:val="single" w:color="DDDDEE" w:sz="1"/>
              <w:left w:val="single" w:color="DDDDEE" w:sz="1"/>
              <w:bottom w:val="single" w:color="DDDDEE" w:sz="1"/>
              <w:right w:val="single" w:color="DDDDEE" w:sz="1"/>
            </w:tcBorders>
            <w:shd w:fill="F4F4FA" w:val="clear"/>
            <w:tcMar>
              <w:top w:type="dxa" w:w="80"/>
              <w:left w:type="dxa" w:w="140"/>
              <w:bottom w:type="dxa" w:w="80"/>
              <w:right w:type="dxa" w:w="140"/>
            </w:tcMar>
          </w:tcPr>
          <w:p>
            <w:r>
              <w:rPr>
                <w:rFonts w:ascii="Arial" w:cs="Arial" w:eastAsia="Arial" w:hAnsi="Arial"/>
                <w:color w:val="1A1A2E"/>
                <w:sz w:val="20"/>
                <w:szCs w:val="20"/>
              </w:rPr>
              <w:t xml:space="preserve">Filtra filas donde todas las celdas son vacías, null o undefined</w:t>
            </w:r>
          </w:p>
        </w:tc>
        <w:tc>
          <w:tcPr>
            <w:tcW w:type="dxa" w:w="2160"/>
            <w:tcBorders>
              <w:top w:val="single" w:color="DDDDEE" w:sz="1"/>
              <w:left w:val="single" w:color="DDDDEE" w:sz="1"/>
              <w:bottom w:val="single" w:color="DDDDEE" w:sz="1"/>
              <w:right w:val="single" w:color="DDDDEE" w:sz="1"/>
            </w:tcBorders>
            <w:shd w:fill="F4F4FA" w:val="clear"/>
            <w:tcMar>
              <w:top w:type="dxa" w:w="80"/>
              <w:left w:type="dxa" w:w="140"/>
              <w:bottom w:type="dxa" w:w="80"/>
              <w:right w:type="dxa" w:w="140"/>
            </w:tcMar>
          </w:tcPr>
          <w:p>
            <w:r>
              <w:rPr>
                <w:rFonts w:ascii="Arial" w:cs="Arial" w:eastAsia="Arial" w:hAnsi="Arial"/>
                <w:color w:val="1A1A2E"/>
                <w:sz w:val="20"/>
                <w:szCs w:val="20"/>
              </w:rPr>
              <w:t xml:space="preserve">Desactivado</w:t>
            </w:r>
          </w:p>
        </w:tc>
      </w:tr>
    </w:tbl>
    <w:p>
      <w:pPr>
        <w:spacing w:before="240" w:after="0"/>
      </w:pPr>
    </w:p>
    <w:p>
      <w:pPr>
        <w:pStyle w:val="Heading2"/>
        <w:spacing w:before="320" w:after="120"/>
      </w:pPr>
      <w:r>
        <w:rPr>
          <w:rFonts w:ascii="Arial" w:cs="Arial" w:eastAsia="Arial" w:hAnsi="Arial"/>
          <w:b/>
          <w:bCs/>
          <w:color w:val="6247CC"/>
          <w:sz w:val="26"/>
          <w:szCs w:val="26"/>
        </w:rPr>
        <w:t xml:space="preserve">4.2 Escape CSV (RFC 4180)</w:t>
      </w:r>
    </w:p>
    <w:p>
      <w:pPr>
        <w:spacing w:before="80" w:after="80"/>
      </w:pPr>
      <w:r>
        <w:rPr>
          <w:rFonts w:ascii="Arial" w:cs="Arial" w:eastAsia="Arial" w:hAnsi="Arial"/>
          <w:color w:val="1A1A2E"/>
          <w:sz w:val="22"/>
          <w:szCs w:val="22"/>
        </w:rPr>
        <w:t xml:space="preserve">La función exportToCSV() implementa el estándar RFC 4180 para escapado de valores:</w:t>
      </w:r>
    </w:p>
    <w:p>
      <w:pPr>
        <w:pStyle w:val="ListParagraph"/>
        <w:numPr>
          <w:ilvl w:val="0"/>
          <w:numId w:val="2"/>
        </w:numPr>
        <w:spacing w:before="40" w:after="40"/>
      </w:pPr>
      <w:r>
        <w:rPr>
          <w:rFonts w:ascii="Arial" w:cs="Arial" w:eastAsia="Arial" w:hAnsi="Arial"/>
          <w:color w:val="1A1A2E"/>
          <w:sz w:val="22"/>
          <w:szCs w:val="22"/>
        </w:rPr>
        <w:t xml:space="preserve">Valores con comas se envuelven en comillas dobles: valor,con,comas → "valor,con,comas"</w:t>
      </w:r>
    </w:p>
    <w:p>
      <w:pPr>
        <w:pStyle w:val="ListParagraph"/>
        <w:numPr>
          <w:ilvl w:val="0"/>
          <w:numId w:val="2"/>
        </w:numPr>
        <w:spacing w:before="40" w:after="40"/>
      </w:pPr>
      <w:r>
        <w:rPr>
          <w:rFonts w:ascii="Arial" w:cs="Arial" w:eastAsia="Arial" w:hAnsi="Arial"/>
          <w:color w:val="1A1A2E"/>
          <w:sz w:val="22"/>
          <w:szCs w:val="22"/>
        </w:rPr>
        <w:t xml:space="preserve">Comillas dobles internas se duplican: valor "quoted" → "valor ""quoted"""</w:t>
      </w:r>
    </w:p>
    <w:p>
      <w:pPr>
        <w:pStyle w:val="ListParagraph"/>
        <w:numPr>
          <w:ilvl w:val="0"/>
          <w:numId w:val="2"/>
        </w:numPr>
        <w:spacing w:before="40" w:after="40"/>
      </w:pPr>
      <w:r>
        <w:rPr>
          <w:rFonts w:ascii="Arial" w:cs="Arial" w:eastAsia="Arial" w:hAnsi="Arial"/>
          <w:color w:val="1A1A2E"/>
          <w:sz w:val="22"/>
          <w:szCs w:val="22"/>
        </w:rPr>
        <w:t xml:space="preserve">Valores con saltos de línea se envuelven en comillas dobles</w:t>
      </w:r>
    </w:p>
    <w:p>
      <w:pPr>
        <w:pStyle w:val="ListParagraph"/>
        <w:numPr>
          <w:ilvl w:val="0"/>
          <w:numId w:val="2"/>
        </w:numPr>
        <w:spacing w:before="40" w:after="40"/>
      </w:pPr>
      <w:r>
        <w:rPr>
          <w:rFonts w:ascii="Arial" w:cs="Arial" w:eastAsia="Arial" w:hAnsi="Arial"/>
          <w:color w:val="1A1A2E"/>
          <w:sz w:val="22"/>
          <w:szCs w:val="22"/>
        </w:rPr>
        <w:t xml:space="preserve">Separador de líneas: CRLF (\r\n) según el estándar</w:t>
      </w:r>
    </w:p>
    <w:p>
      <w:r>
        <w:br w:type="page"/>
      </w:r>
    </w:p>
    <w:p>
      <w:pPr>
        <w:pStyle w:val="Heading1"/>
        <w:pBdr>
          <w:bottom w:val="single" w:color="00C87A" w:sz="8" w:space="4"/>
        </w:pBdr>
        <w:spacing w:before="480" w:after="200"/>
      </w:pPr>
      <w:r>
        <w:rPr>
          <w:rFonts w:ascii="Arial" w:cs="Arial" w:eastAsia="Arial" w:hAnsi="Arial"/>
          <w:b/>
          <w:bCs/>
          <w:color w:val="1A1A2E"/>
          <w:sz w:val="32"/>
          <w:szCs w:val="32"/>
        </w:rPr>
        <w:t xml:space="preserve">5. Buenas Prácticas Implementadas</w:t>
      </w:r>
    </w:p>
    <w:p>
      <w:pPr>
        <w:pStyle w:val="Heading2"/>
        <w:spacing w:before="320" w:after="120"/>
      </w:pPr>
      <w:r>
        <w:rPr>
          <w:rFonts w:ascii="Arial" w:cs="Arial" w:eastAsia="Arial" w:hAnsi="Arial"/>
          <w:b/>
          <w:bCs/>
          <w:color w:val="6247CC"/>
          <w:sz w:val="26"/>
          <w:szCs w:val="26"/>
        </w:rPr>
        <w:t xml:space="preserve">5.1 Seguridad</w:t>
      </w:r>
    </w:p>
    <w:p>
      <w:pPr>
        <w:pStyle w:val="ListParagraph"/>
        <w:numPr>
          <w:ilvl w:val="0"/>
          <w:numId w:val="2"/>
        </w:numPr>
        <w:spacing w:before="40" w:after="40"/>
      </w:pPr>
      <w:r>
        <w:rPr>
          <w:rFonts w:ascii="Arial" w:cs="Arial" w:eastAsia="Arial" w:hAnsi="Arial"/>
          <w:color w:val="1A1A2E"/>
          <w:sz w:val="22"/>
          <w:szCs w:val="22"/>
        </w:rPr>
        <w:t xml:space="preserve">XSS Prevention: todos los datos del usuario se pasan por escapeHtml() antes de insertarse en el DOM</w:t>
      </w:r>
    </w:p>
    <w:p>
      <w:pPr>
        <w:pStyle w:val="ListParagraph"/>
        <w:numPr>
          <w:ilvl w:val="0"/>
          <w:numId w:val="2"/>
        </w:numPr>
        <w:spacing w:before="40" w:after="40"/>
      </w:pPr>
      <w:r>
        <w:rPr>
          <w:rFonts w:ascii="Arial" w:cs="Arial" w:eastAsia="Arial" w:hAnsi="Arial"/>
          <w:color w:val="1A1A2E"/>
          <w:sz w:val="22"/>
          <w:szCs w:val="22"/>
        </w:rPr>
        <w:t xml:space="preserve">No innerHTML sin sanitizar: los valores de celdas siempre son escapados</w:t>
      </w:r>
    </w:p>
    <w:p>
      <w:pPr>
        <w:pStyle w:val="ListParagraph"/>
        <w:numPr>
          <w:ilvl w:val="0"/>
          <w:numId w:val="2"/>
        </w:numPr>
        <w:spacing w:before="40" w:after="40"/>
      </w:pPr>
      <w:r>
        <w:rPr>
          <w:rFonts w:ascii="Arial" w:cs="Arial" w:eastAsia="Arial" w:hAnsi="Arial"/>
          <w:color w:val="1A1A2E"/>
          <w:sz w:val="22"/>
          <w:szCs w:val="22"/>
        </w:rPr>
        <w:t xml:space="preserve">Sin peticiones externas: los archivos nunca se envían a ningún servidor — procesamiento 100% local</w:t>
      </w:r>
    </w:p>
    <w:p>
      <w:pPr>
        <w:pStyle w:val="ListParagraph"/>
        <w:numPr>
          <w:ilvl w:val="0"/>
          <w:numId w:val="2"/>
        </w:numPr>
        <w:spacing w:before="40" w:after="40"/>
      </w:pPr>
      <w:r>
        <w:rPr>
          <w:rFonts w:ascii="Arial" w:cs="Arial" w:eastAsia="Arial" w:hAnsi="Arial"/>
          <w:color w:val="1A1A2E"/>
          <w:sz w:val="22"/>
          <w:szCs w:val="22"/>
        </w:rPr>
        <w:t xml:space="preserve">Content Security Policy friendly: no usa eval() ni funciones dinámicas inseguras</w:t>
      </w:r>
    </w:p>
    <w:p>
      <w:pPr>
        <w:spacing w:before="160" w:after="0"/>
      </w:pPr>
    </w:p>
    <w:p>
      <w:pPr>
        <w:pStyle w:val="Heading2"/>
        <w:spacing w:before="320" w:after="120"/>
      </w:pPr>
      <w:r>
        <w:rPr>
          <w:rFonts w:ascii="Arial" w:cs="Arial" w:eastAsia="Arial" w:hAnsi="Arial"/>
          <w:b/>
          <w:bCs/>
          <w:color w:val="6247CC"/>
          <w:sz w:val="26"/>
          <w:szCs w:val="26"/>
        </w:rPr>
        <w:t xml:space="preserve">5.2 Performance</w:t>
      </w:r>
    </w:p>
    <w:p>
      <w:pPr>
        <w:pStyle w:val="ListParagraph"/>
        <w:numPr>
          <w:ilvl w:val="0"/>
          <w:numId w:val="2"/>
        </w:numPr>
        <w:spacing w:before="40" w:after="40"/>
      </w:pPr>
      <w:r>
        <w:rPr>
          <w:rFonts w:ascii="Arial" w:cs="Arial" w:eastAsia="Arial" w:hAnsi="Arial"/>
          <w:color w:val="1A1A2E"/>
          <w:sz w:val="22"/>
          <w:szCs w:val="22"/>
        </w:rPr>
        <w:t xml:space="preserve">Vista previa limitada: se renderizan máximo 50 filas y 12 columnas para evitar bloquear el navegador con archivos grandes</w:t>
      </w:r>
    </w:p>
    <w:p>
      <w:pPr>
        <w:pStyle w:val="ListParagraph"/>
        <w:numPr>
          <w:ilvl w:val="0"/>
          <w:numId w:val="2"/>
        </w:numPr>
        <w:spacing w:before="40" w:after="40"/>
      </w:pPr>
      <w:r>
        <w:rPr>
          <w:rFonts w:ascii="Arial" w:cs="Arial" w:eastAsia="Arial" w:hAnsi="Arial"/>
          <w:color w:val="1A1A2E"/>
          <w:sz w:val="22"/>
          <w:szCs w:val="22"/>
        </w:rPr>
        <w:t xml:space="preserve">innerHTML batch: la tabla se construye como string HTML y se inserta en un solo innerHTML (evita múltiples reflows)</w:t>
      </w:r>
    </w:p>
    <w:p>
      <w:pPr>
        <w:pStyle w:val="ListParagraph"/>
        <w:numPr>
          <w:ilvl w:val="0"/>
          <w:numId w:val="2"/>
        </w:numPr>
        <w:spacing w:before="40" w:after="40"/>
      </w:pPr>
      <w:r>
        <w:rPr>
          <w:rFonts w:ascii="Arial" w:cs="Arial" w:eastAsia="Arial" w:hAnsi="Arial"/>
          <w:color w:val="1A1A2E"/>
          <w:sz w:val="22"/>
          <w:szCs w:val="22"/>
        </w:rPr>
        <w:t xml:space="preserve">FileReader async: la lectura del archivo usa callbacks asíncronos para no bloquear el hilo principal</w:t>
      </w:r>
    </w:p>
    <w:p>
      <w:pPr>
        <w:pStyle w:val="ListParagraph"/>
        <w:numPr>
          <w:ilvl w:val="0"/>
          <w:numId w:val="2"/>
        </w:numPr>
        <w:spacing w:before="40" w:after="40"/>
      </w:pPr>
      <w:r>
        <w:rPr>
          <w:rFonts w:ascii="Arial" w:cs="Arial" w:eastAsia="Arial" w:hAnsi="Arial"/>
          <w:color w:val="1A1A2E"/>
          <w:sz w:val="22"/>
          <w:szCs w:val="22"/>
        </w:rPr>
        <w:t xml:space="preserve">URL.revokeObjectURL(): se limpia la URL de objeto después de la descarga para liberar memoria</w:t>
      </w:r>
    </w:p>
    <w:p>
      <w:pPr>
        <w:spacing w:before="160" w:after="0"/>
      </w:pPr>
    </w:p>
    <w:p>
      <w:pPr>
        <w:pStyle w:val="Heading2"/>
        <w:spacing w:before="320" w:after="120"/>
      </w:pPr>
      <w:r>
        <w:rPr>
          <w:rFonts w:ascii="Arial" w:cs="Arial" w:eastAsia="Arial" w:hAnsi="Arial"/>
          <w:b/>
          <w:bCs/>
          <w:color w:val="6247CC"/>
          <w:sz w:val="26"/>
          <w:szCs w:val="26"/>
        </w:rPr>
        <w:t xml:space="preserve">5.3 Mantenibilidad</w:t>
      </w:r>
    </w:p>
    <w:p>
      <w:pPr>
        <w:pStyle w:val="ListParagraph"/>
        <w:numPr>
          <w:ilvl w:val="0"/>
          <w:numId w:val="2"/>
        </w:numPr>
        <w:spacing w:before="40" w:after="40"/>
      </w:pPr>
      <w:r>
        <w:rPr>
          <w:rFonts w:ascii="Arial" w:cs="Arial" w:eastAsia="Arial" w:hAnsi="Arial"/>
          <w:color w:val="1A1A2E"/>
          <w:sz w:val="22"/>
          <w:szCs w:val="22"/>
        </w:rPr>
        <w:t xml:space="preserve">DOM references centralizadas: todas las referencias DOM están en el objeto const DOM — una sola ubicación para actualizar</w:t>
      </w:r>
    </w:p>
    <w:p>
      <w:pPr>
        <w:pStyle w:val="ListParagraph"/>
        <w:numPr>
          <w:ilvl w:val="0"/>
          <w:numId w:val="2"/>
        </w:numPr>
        <w:spacing w:before="40" w:after="40"/>
      </w:pPr>
      <w:r>
        <w:rPr>
          <w:rFonts w:ascii="Arial" w:cs="Arial" w:eastAsia="Arial" w:hAnsi="Arial"/>
          <w:color w:val="1A1A2E"/>
          <w:sz w:val="22"/>
          <w:szCs w:val="22"/>
        </w:rPr>
        <w:t xml:space="preserve">Estado centralizado: AppState agrupa todo el estado mutable — fácil de inspeccionar y depurar</w:t>
      </w:r>
    </w:p>
    <w:p>
      <w:pPr>
        <w:pStyle w:val="ListParagraph"/>
        <w:numPr>
          <w:ilvl w:val="0"/>
          <w:numId w:val="2"/>
        </w:numPr>
        <w:spacing w:before="40" w:after="40"/>
      </w:pPr>
      <w:r>
        <w:rPr>
          <w:rFonts w:ascii="Arial" w:cs="Arial" w:eastAsia="Arial" w:hAnsi="Arial"/>
          <w:color w:val="1A1A2E"/>
          <w:sz w:val="22"/>
          <w:szCs w:val="22"/>
        </w:rPr>
        <w:t xml:space="preserve">Funciones puras: applyTransformations() y getTransformOptions() no tienen efectos secundarios — son testeables de forma aislada</w:t>
      </w:r>
    </w:p>
    <w:p>
      <w:pPr>
        <w:pStyle w:val="ListParagraph"/>
        <w:numPr>
          <w:ilvl w:val="0"/>
          <w:numId w:val="2"/>
        </w:numPr>
        <w:spacing w:before="40" w:after="40"/>
      </w:pPr>
      <w:r>
        <w:rPr>
          <w:rFonts w:ascii="Arial" w:cs="Arial" w:eastAsia="Arial" w:hAnsi="Arial"/>
          <w:color w:val="1A1A2E"/>
          <w:sz w:val="22"/>
          <w:szCs w:val="22"/>
        </w:rPr>
        <w:t xml:space="preserve">Comentarios estructurales: cada sección tiene un bloque de comentario con número, nombre y descripción</w:t>
      </w:r>
    </w:p>
    <w:p>
      <w:pPr>
        <w:pStyle w:val="ListParagraph"/>
        <w:numPr>
          <w:ilvl w:val="0"/>
          <w:numId w:val="2"/>
        </w:numPr>
        <w:spacing w:before="40" w:after="40"/>
      </w:pPr>
      <w:r>
        <w:rPr>
          <w:rFonts w:ascii="Arial" w:cs="Arial" w:eastAsia="Arial" w:hAnsi="Arial"/>
          <w:color w:val="1A1A2E"/>
          <w:sz w:val="22"/>
          <w:szCs w:val="22"/>
        </w:rPr>
        <w:t xml:space="preserve">Nomenclatura consistente: IDs con prefijo js-, clases CSS con BEM-lite, funciones camelCase</w:t>
      </w:r>
    </w:p>
    <w:p>
      <w:pPr>
        <w:spacing w:before="160" w:after="0"/>
      </w:pPr>
    </w:p>
    <w:p>
      <w:pPr>
        <w:pStyle w:val="Heading2"/>
        <w:spacing w:before="320" w:after="120"/>
      </w:pPr>
      <w:r>
        <w:rPr>
          <w:rFonts w:ascii="Arial" w:cs="Arial" w:eastAsia="Arial" w:hAnsi="Arial"/>
          <w:b/>
          <w:bCs/>
          <w:color w:val="6247CC"/>
          <w:sz w:val="26"/>
          <w:szCs w:val="26"/>
        </w:rPr>
        <w:t xml:space="preserve">5.4 Accesibilidad</w:t>
      </w:r>
    </w:p>
    <w:p>
      <w:pPr>
        <w:pStyle w:val="ListParagraph"/>
        <w:numPr>
          <w:ilvl w:val="0"/>
          <w:numId w:val="2"/>
        </w:numPr>
        <w:spacing w:before="40" w:after="40"/>
      </w:pPr>
      <w:r>
        <w:rPr>
          <w:rFonts w:ascii="Arial" w:cs="Arial" w:eastAsia="Arial" w:hAnsi="Arial"/>
          <w:color w:val="1A1A2E"/>
          <w:sz w:val="22"/>
          <w:szCs w:val="22"/>
        </w:rPr>
        <w:t xml:space="preserve">Atributos ARIA: role, aria-label, aria-live en elementos dinámicos</w:t>
      </w:r>
    </w:p>
    <w:p>
      <w:pPr>
        <w:pStyle w:val="ListParagraph"/>
        <w:numPr>
          <w:ilvl w:val="0"/>
          <w:numId w:val="2"/>
        </w:numPr>
        <w:spacing w:before="40" w:after="40"/>
      </w:pPr>
      <w:r>
        <w:rPr>
          <w:rFonts w:ascii="Arial" w:cs="Arial" w:eastAsia="Arial" w:hAnsi="Arial"/>
          <w:color w:val="1A1A2E"/>
          <w:sz w:val="22"/>
          <w:szCs w:val="22"/>
        </w:rPr>
        <w:t xml:space="preserve">Teclado: la drop zone es accesible con Tab + Enter (keydown listener)</w:t>
      </w:r>
    </w:p>
    <w:p>
      <w:pPr>
        <w:pStyle w:val="ListParagraph"/>
        <w:numPr>
          <w:ilvl w:val="0"/>
          <w:numId w:val="2"/>
        </w:numPr>
        <w:spacing w:before="40" w:after="40"/>
      </w:pPr>
      <w:r>
        <w:rPr>
          <w:rFonts w:ascii="Arial" w:cs="Arial" w:eastAsia="Arial" w:hAnsi="Arial"/>
          <w:color w:val="1A1A2E"/>
          <w:sz w:val="22"/>
          <w:szCs w:val="22"/>
        </w:rPr>
        <w:t xml:space="preserve">Contraste: la paleta cumple con WCAG AA en todos los textos sobre fondo oscuro</w:t>
      </w:r>
    </w:p>
    <w:p>
      <w:pPr>
        <w:pStyle w:val="ListParagraph"/>
        <w:numPr>
          <w:ilvl w:val="0"/>
          <w:numId w:val="2"/>
        </w:numPr>
        <w:spacing w:before="40" w:after="40"/>
      </w:pPr>
      <w:r>
        <w:rPr>
          <w:rFonts w:ascii="Arial" w:cs="Arial" w:eastAsia="Arial" w:hAnsi="Arial"/>
          <w:color w:val="1A1A2E"/>
          <w:sz w:val="22"/>
          <w:szCs w:val="22"/>
        </w:rPr>
        <w:t xml:space="preserve">Semántica: &lt;header&gt;, &lt;nav&gt;, &lt;main&gt; implícito — estructura clara para lectores de pantalla</w:t>
      </w:r>
    </w:p>
    <w:p>
      <w:pPr>
        <w:spacing w:before="160" w:after="0"/>
      </w:pPr>
    </w:p>
    <w:p>
      <w:pPr>
        <w:pStyle w:val="Heading2"/>
        <w:spacing w:before="320" w:after="120"/>
      </w:pPr>
      <w:r>
        <w:rPr>
          <w:rFonts w:ascii="Arial" w:cs="Arial" w:eastAsia="Arial" w:hAnsi="Arial"/>
          <w:b/>
          <w:bCs/>
          <w:color w:val="6247CC"/>
          <w:sz w:val="26"/>
          <w:szCs w:val="26"/>
        </w:rPr>
        <w:t xml:space="preserve">5.5 Compatibilidad</w:t>
      </w:r>
    </w:p>
    <w:p>
      <w:pPr>
        <w:pStyle w:val="ListParagraph"/>
        <w:numPr>
          <w:ilvl w:val="0"/>
          <w:numId w:val="2"/>
        </w:numPr>
        <w:spacing w:before="40" w:after="40"/>
      </w:pPr>
      <w:r>
        <w:rPr>
          <w:rFonts w:ascii="Arial" w:cs="Arial" w:eastAsia="Arial" w:hAnsi="Arial"/>
          <w:color w:val="1A1A2E"/>
          <w:sz w:val="22"/>
          <w:szCs w:val="22"/>
        </w:rPr>
        <w:t xml:space="preserve">ES2020: usa optional chaining (?.), nullish coalescing (??), y template literals — compatible con navegadores modernos</w:t>
      </w:r>
    </w:p>
    <w:p>
      <w:pPr>
        <w:pStyle w:val="ListParagraph"/>
        <w:numPr>
          <w:ilvl w:val="0"/>
          <w:numId w:val="2"/>
        </w:numPr>
        <w:spacing w:before="40" w:after="40"/>
      </w:pPr>
      <w:r>
        <w:rPr>
          <w:rFonts w:ascii="Arial" w:cs="Arial" w:eastAsia="Arial" w:hAnsi="Arial"/>
          <w:color w:val="1A1A2E"/>
          <w:sz w:val="22"/>
          <w:szCs w:val="22"/>
        </w:rPr>
        <w:t xml:space="preserve">Sin framework: funciona sin npm, sin webpack, sin build — basta abrir el .html en un navegador</w:t>
      </w:r>
    </w:p>
    <w:p>
      <w:pPr>
        <w:pStyle w:val="ListParagraph"/>
        <w:numPr>
          <w:ilvl w:val="0"/>
          <w:numId w:val="2"/>
        </w:numPr>
        <w:spacing w:before="40" w:after="40"/>
      </w:pPr>
      <w:r>
        <w:rPr>
          <w:rFonts w:ascii="Arial" w:cs="Arial" w:eastAsia="Arial" w:hAnsi="Arial"/>
          <w:color w:val="1A1A2E"/>
          <w:sz w:val="22"/>
          <w:szCs w:val="22"/>
        </w:rPr>
        <w:t xml:space="preserve">CDN con version fija: SheetJS se carga desde Cloudflare CDN con versión explícita para reproducibilidad</w:t>
      </w:r>
    </w:p>
    <w:p>
      <w:r>
        <w:br w:type="page"/>
      </w:r>
    </w:p>
    <w:p>
      <w:pPr>
        <w:pStyle w:val="Heading1"/>
        <w:pBdr>
          <w:bottom w:val="single" w:color="00C87A" w:sz="8" w:space="4"/>
        </w:pBdr>
        <w:spacing w:before="480" w:after="200"/>
      </w:pPr>
      <w:r>
        <w:rPr>
          <w:rFonts w:ascii="Arial" w:cs="Arial" w:eastAsia="Arial" w:hAnsi="Arial"/>
          <w:b/>
          <w:bCs/>
          <w:color w:val="1A1A2E"/>
          <w:sz w:val="32"/>
          <w:szCs w:val="32"/>
        </w:rPr>
        <w:t xml:space="preserve">6. Integración con n8n</w:t>
      </w:r>
    </w:p>
    <w:p>
      <w:pPr>
        <w:pStyle w:val="Heading2"/>
        <w:spacing w:before="320" w:after="120"/>
      </w:pPr>
      <w:r>
        <w:rPr>
          <w:rFonts w:ascii="Arial" w:cs="Arial" w:eastAsia="Arial" w:hAnsi="Arial"/>
          <w:b/>
          <w:bCs/>
          <w:color w:val="6247CC"/>
          <w:sz w:val="26"/>
          <w:szCs w:val="26"/>
        </w:rPr>
        <w:t xml:space="preserve">6.1 Estructura del Workflow Generado</w:t>
      </w:r>
    </w:p>
    <w:p>
      <w:pPr>
        <w:spacing w:before="80" w:after="80"/>
      </w:pPr>
      <w:r>
        <w:rPr>
          <w:rFonts w:ascii="Arial" w:cs="Arial" w:eastAsia="Arial" w:hAnsi="Arial"/>
          <w:color w:val="1A1A2E"/>
          <w:sz w:val="22"/>
          <w:szCs w:val="22"/>
        </w:rPr>
        <w:t xml:space="preserve">El flujo n8n generado contiene 5 nodos conectados en secuencia lineal:</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DDDDEE" w:sz="1"/>
              <w:left w:val="single" w:color="DDDDEE" w:sz="1"/>
              <w:bottom w:val="single" w:color="DDDDEE" w:sz="1"/>
              <w:right w:val="single" w:color="DDDDEE" w:sz="1"/>
            </w:tcBorders>
            <w:shd w:fill="E8E8F6"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Nodo</w:t>
            </w:r>
          </w:p>
        </w:tc>
        <w:tc>
          <w:tcPr>
            <w:tcW w:type="dxa" w:w="3000"/>
            <w:tcBorders>
              <w:top w:val="single" w:color="DDDDEE" w:sz="1"/>
              <w:left w:val="single" w:color="DDDDEE" w:sz="1"/>
              <w:bottom w:val="single" w:color="DDDDEE" w:sz="1"/>
              <w:right w:val="single" w:color="DDDDEE" w:sz="1"/>
            </w:tcBorders>
            <w:shd w:fill="E8E8F6"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Tipo n8n</w:t>
            </w:r>
          </w:p>
        </w:tc>
        <w:tc>
          <w:tcPr>
            <w:tcW w:type="dxa" w:w="3960"/>
            <w:tcBorders>
              <w:top w:val="single" w:color="DDDDEE" w:sz="1"/>
              <w:left w:val="single" w:color="DDDDEE" w:sz="1"/>
              <w:bottom w:val="single" w:color="DDDDEE" w:sz="1"/>
              <w:right w:val="single" w:color="DDDDEE" w:sz="1"/>
            </w:tcBorders>
            <w:shd w:fill="E8E8F6"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Función</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Leer Archivo XLS</w:t>
            </w:r>
          </w:p>
        </w:tc>
        <w:tc>
          <w:tcPr>
            <w:tcW w:type="dxa" w:w="30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n8n-nodes-base.readBinaryFile</w:t>
            </w:r>
          </w:p>
        </w:tc>
        <w:tc>
          <w:tcPr>
            <w:tcW w:type="dxa" w:w="396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Lee el archivo .xlsx del sistema de archivos</w:t>
            </w:r>
          </w:p>
        </w:tc>
      </w:tr>
      <w:tr>
        <w:tc>
          <w:tcPr>
            <w:tcW w:type="dxa" w:w="2400"/>
            <w:tcBorders>
              <w:top w:val="single" w:color="DDDDEE" w:sz="1"/>
              <w:left w:val="single" w:color="DDDDEE" w:sz="1"/>
              <w:bottom w:val="single" w:color="DDDDEE" w:sz="1"/>
              <w:right w:val="single" w:color="DDDDEE" w:sz="1"/>
            </w:tcBorders>
            <w:shd w:fill="F4F4FA" w:val="clear"/>
            <w:tcMar>
              <w:top w:type="dxa" w:w="80"/>
              <w:left w:type="dxa" w:w="140"/>
              <w:bottom w:type="dxa" w:w="80"/>
              <w:right w:type="dxa" w:w="140"/>
            </w:tcMar>
          </w:tcPr>
          <w:p>
            <w:r>
              <w:rPr>
                <w:rFonts w:ascii="Arial" w:cs="Arial" w:eastAsia="Arial" w:hAnsi="Arial"/>
                <w:color w:val="1A1A2E"/>
                <w:sz w:val="20"/>
                <w:szCs w:val="20"/>
              </w:rPr>
              <w:t xml:space="preserve">Excel → JSON</w:t>
            </w:r>
          </w:p>
        </w:tc>
        <w:tc>
          <w:tcPr>
            <w:tcW w:type="dxa" w:w="3000"/>
            <w:tcBorders>
              <w:top w:val="single" w:color="DDDDEE" w:sz="1"/>
              <w:left w:val="single" w:color="DDDDEE" w:sz="1"/>
              <w:bottom w:val="single" w:color="DDDDEE" w:sz="1"/>
              <w:right w:val="single" w:color="DDDDEE" w:sz="1"/>
            </w:tcBorders>
            <w:shd w:fill="F4F4FA" w:val="clear"/>
            <w:tcMar>
              <w:top w:type="dxa" w:w="80"/>
              <w:left w:type="dxa" w:w="140"/>
              <w:bottom w:type="dxa" w:w="80"/>
              <w:right w:type="dxa" w:w="140"/>
            </w:tcMar>
          </w:tcPr>
          <w:p>
            <w:r>
              <w:rPr>
                <w:rFonts w:ascii="Arial" w:cs="Arial" w:eastAsia="Arial" w:hAnsi="Arial"/>
                <w:color w:val="1A1A2E"/>
                <w:sz w:val="20"/>
                <w:szCs w:val="20"/>
              </w:rPr>
              <w:t xml:space="preserve">n8n-nodes-base.spreadsheetFile</w:t>
            </w:r>
          </w:p>
        </w:tc>
        <w:tc>
          <w:tcPr>
            <w:tcW w:type="dxa" w:w="3960"/>
            <w:tcBorders>
              <w:top w:val="single" w:color="DDDDEE" w:sz="1"/>
              <w:left w:val="single" w:color="DDDDEE" w:sz="1"/>
              <w:bottom w:val="single" w:color="DDDDEE" w:sz="1"/>
              <w:right w:val="single" w:color="DDDDEE" w:sz="1"/>
            </w:tcBorders>
            <w:shd w:fill="F4F4FA" w:val="clear"/>
            <w:tcMar>
              <w:top w:type="dxa" w:w="80"/>
              <w:left w:type="dxa" w:w="140"/>
              <w:bottom w:type="dxa" w:w="80"/>
              <w:right w:type="dxa" w:w="140"/>
            </w:tcMar>
          </w:tcPr>
          <w:p>
            <w:r>
              <w:rPr>
                <w:rFonts w:ascii="Arial" w:cs="Arial" w:eastAsia="Arial" w:hAnsi="Arial"/>
                <w:color w:val="1A1A2E"/>
                <w:sz w:val="20"/>
                <w:szCs w:val="20"/>
              </w:rPr>
              <w:t xml:space="preserve">Parsea el Excel y convierte cada fila a un objeto JSON</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Transformar Datos</w:t>
            </w:r>
          </w:p>
        </w:tc>
        <w:tc>
          <w:tcPr>
            <w:tcW w:type="dxa" w:w="30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n8n-nodes-base.code</w:t>
            </w:r>
          </w:p>
        </w:tc>
        <w:tc>
          <w:tcPr>
            <w:tcW w:type="dxa" w:w="396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Aplica trim() a claves y valores, filtra filas vacías</w:t>
            </w:r>
          </w:p>
        </w:tc>
      </w:tr>
      <w:tr>
        <w:tc>
          <w:tcPr>
            <w:tcW w:type="dxa" w:w="2400"/>
            <w:tcBorders>
              <w:top w:val="single" w:color="DDDDEE" w:sz="1"/>
              <w:left w:val="single" w:color="DDDDEE" w:sz="1"/>
              <w:bottom w:val="single" w:color="DDDDEE" w:sz="1"/>
              <w:right w:val="single" w:color="DDDDEE" w:sz="1"/>
            </w:tcBorders>
            <w:shd w:fill="F4F4FA" w:val="clear"/>
            <w:tcMar>
              <w:top w:type="dxa" w:w="80"/>
              <w:left w:type="dxa" w:w="140"/>
              <w:bottom w:type="dxa" w:w="80"/>
              <w:right w:type="dxa" w:w="140"/>
            </w:tcMar>
          </w:tcPr>
          <w:p>
            <w:r>
              <w:rPr>
                <w:rFonts w:ascii="Arial" w:cs="Arial" w:eastAsia="Arial" w:hAnsi="Arial"/>
                <w:color w:val="1A1A2E"/>
                <w:sz w:val="20"/>
                <w:szCs w:val="20"/>
              </w:rPr>
              <w:t xml:space="preserve">Escribir CSV UTF-8</w:t>
            </w:r>
          </w:p>
        </w:tc>
        <w:tc>
          <w:tcPr>
            <w:tcW w:type="dxa" w:w="3000"/>
            <w:tcBorders>
              <w:top w:val="single" w:color="DDDDEE" w:sz="1"/>
              <w:left w:val="single" w:color="DDDDEE" w:sz="1"/>
              <w:bottom w:val="single" w:color="DDDDEE" w:sz="1"/>
              <w:right w:val="single" w:color="DDDDEE" w:sz="1"/>
            </w:tcBorders>
            <w:shd w:fill="F4F4FA" w:val="clear"/>
            <w:tcMar>
              <w:top w:type="dxa" w:w="80"/>
              <w:left w:type="dxa" w:w="140"/>
              <w:bottom w:type="dxa" w:w="80"/>
              <w:right w:type="dxa" w:w="140"/>
            </w:tcMar>
          </w:tcPr>
          <w:p>
            <w:r>
              <w:rPr>
                <w:rFonts w:ascii="Arial" w:cs="Arial" w:eastAsia="Arial" w:hAnsi="Arial"/>
                <w:color w:val="1A1A2E"/>
                <w:sz w:val="20"/>
                <w:szCs w:val="20"/>
              </w:rPr>
              <w:t xml:space="preserve">n8n-nodes-base.spreadsheetFile</w:t>
            </w:r>
          </w:p>
        </w:tc>
        <w:tc>
          <w:tcPr>
            <w:tcW w:type="dxa" w:w="3960"/>
            <w:tcBorders>
              <w:top w:val="single" w:color="DDDDEE" w:sz="1"/>
              <w:left w:val="single" w:color="DDDDEE" w:sz="1"/>
              <w:bottom w:val="single" w:color="DDDDEE" w:sz="1"/>
              <w:right w:val="single" w:color="DDDDEE" w:sz="1"/>
            </w:tcBorders>
            <w:shd w:fill="F4F4FA" w:val="clear"/>
            <w:tcMar>
              <w:top w:type="dxa" w:w="80"/>
              <w:left w:type="dxa" w:w="140"/>
              <w:bottom w:type="dxa" w:w="80"/>
              <w:right w:type="dxa" w:w="140"/>
            </w:tcMar>
          </w:tcPr>
          <w:p>
            <w:r>
              <w:rPr>
                <w:rFonts w:ascii="Arial" w:cs="Arial" w:eastAsia="Arial" w:hAnsi="Arial"/>
                <w:color w:val="1A1A2E"/>
                <w:sz w:val="20"/>
                <w:szCs w:val="20"/>
              </w:rPr>
              <w:t xml:space="preserve">Serializa los objetos JSON a formato CSV con encoding UTF-8</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Guardar Archivo</w:t>
            </w:r>
          </w:p>
        </w:tc>
        <w:tc>
          <w:tcPr>
            <w:tcW w:type="dxa" w:w="30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n8n-nodes-base.writeBinaryFile</w:t>
            </w:r>
          </w:p>
        </w:tc>
        <w:tc>
          <w:tcPr>
            <w:tcW w:type="dxa" w:w="396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Guarda el CSV resultante en el sistema de archivos</w:t>
            </w:r>
          </w:p>
        </w:tc>
      </w:tr>
    </w:tbl>
    <w:p>
      <w:pPr>
        <w:spacing w:before="200" w:after="0"/>
      </w:pPr>
    </w:p>
    <w:p>
      <w:pPr>
        <w:pStyle w:val="Heading2"/>
        <w:spacing w:before="320" w:after="120"/>
      </w:pPr>
      <w:r>
        <w:rPr>
          <w:rFonts w:ascii="Arial" w:cs="Arial" w:eastAsia="Arial" w:hAnsi="Arial"/>
          <w:b/>
          <w:bCs/>
          <w:color w:val="6247CC"/>
          <w:sz w:val="26"/>
          <w:szCs w:val="26"/>
        </w:rPr>
        <w:t xml:space="preserve">6.2 Cómo Importar el Flujo</w:t>
      </w:r>
    </w:p>
    <w:p>
      <w:pPr>
        <w:pStyle w:val="ListParagraph"/>
        <w:numPr>
          <w:ilvl w:val="0"/>
          <w:numId w:val="3"/>
        </w:numPr>
        <w:spacing w:before="60" w:after="60"/>
      </w:pPr>
      <w:r>
        <w:rPr>
          <w:rFonts w:ascii="Arial" w:cs="Arial" w:eastAsia="Arial" w:hAnsi="Arial"/>
          <w:color w:val="1A1A2E"/>
          <w:sz w:val="22"/>
          <w:szCs w:val="22"/>
        </w:rPr>
        <w:t xml:space="preserve">Haz clic en "GENERAR FLUJO N8N" en la herramienta</w:t>
      </w:r>
    </w:p>
    <w:p>
      <w:pPr>
        <w:pStyle w:val="ListParagraph"/>
        <w:numPr>
          <w:ilvl w:val="0"/>
          <w:numId w:val="3"/>
        </w:numPr>
        <w:spacing w:before="60" w:after="60"/>
      </w:pPr>
      <w:r>
        <w:rPr>
          <w:rFonts w:ascii="Arial" w:cs="Arial" w:eastAsia="Arial" w:hAnsi="Arial"/>
          <w:color w:val="1A1A2E"/>
          <w:sz w:val="22"/>
          <w:szCs w:val="22"/>
        </w:rPr>
        <w:t xml:space="preserve">Haz clic en "COPIAR JSON" para copiar el workflow</w:t>
      </w:r>
    </w:p>
    <w:p>
      <w:pPr>
        <w:pStyle w:val="ListParagraph"/>
        <w:numPr>
          <w:ilvl w:val="0"/>
          <w:numId w:val="3"/>
        </w:numPr>
        <w:spacing w:before="60" w:after="60"/>
      </w:pPr>
      <w:r>
        <w:rPr>
          <w:rFonts w:ascii="Arial" w:cs="Arial" w:eastAsia="Arial" w:hAnsi="Arial"/>
          <w:color w:val="1A1A2E"/>
          <w:sz w:val="22"/>
          <w:szCs w:val="22"/>
        </w:rPr>
        <w:t xml:space="preserve">Abre tu instancia de n8n</w:t>
      </w:r>
    </w:p>
    <w:p>
      <w:pPr>
        <w:pStyle w:val="ListParagraph"/>
        <w:numPr>
          <w:ilvl w:val="0"/>
          <w:numId w:val="3"/>
        </w:numPr>
        <w:spacing w:before="60" w:after="60"/>
      </w:pPr>
      <w:r>
        <w:rPr>
          <w:rFonts w:ascii="Arial" w:cs="Arial" w:eastAsia="Arial" w:hAnsi="Arial"/>
          <w:color w:val="1A1A2E"/>
          <w:sz w:val="22"/>
          <w:szCs w:val="22"/>
        </w:rPr>
        <w:t xml:space="preserve">Ve a Workflows → menú "⋮" (tres puntos) → "Import from JSON"</w:t>
      </w:r>
    </w:p>
    <w:p>
      <w:pPr>
        <w:pStyle w:val="ListParagraph"/>
        <w:numPr>
          <w:ilvl w:val="0"/>
          <w:numId w:val="3"/>
        </w:numPr>
        <w:spacing w:before="60" w:after="60"/>
      </w:pPr>
      <w:r>
        <w:rPr>
          <w:rFonts w:ascii="Arial" w:cs="Arial" w:eastAsia="Arial" w:hAnsi="Arial"/>
          <w:color w:val="1A1A2E"/>
          <w:sz w:val="22"/>
          <w:szCs w:val="22"/>
        </w:rPr>
        <w:t xml:space="preserve">Pega el JSON copiado y confirma</w:t>
      </w:r>
    </w:p>
    <w:p>
      <w:pPr>
        <w:pStyle w:val="ListParagraph"/>
        <w:numPr>
          <w:ilvl w:val="0"/>
          <w:numId w:val="3"/>
        </w:numPr>
        <w:spacing w:before="60" w:after="60"/>
      </w:pPr>
      <w:r>
        <w:rPr>
          <w:rFonts w:ascii="Arial" w:cs="Arial" w:eastAsia="Arial" w:hAnsi="Arial"/>
          <w:color w:val="1A1A2E"/>
          <w:sz w:val="22"/>
          <w:szCs w:val="22"/>
        </w:rPr>
        <w:t xml:space="preserve">Edita el nodo "Leer Archivo XLS" para apuntar a la ruta correcta de tu archivo</w:t>
      </w:r>
    </w:p>
    <w:p>
      <w:pPr>
        <w:pStyle w:val="ListParagraph"/>
        <w:numPr>
          <w:ilvl w:val="0"/>
          <w:numId w:val="3"/>
        </w:numPr>
        <w:spacing w:before="60" w:after="60"/>
      </w:pPr>
      <w:r>
        <w:rPr>
          <w:rFonts w:ascii="Arial" w:cs="Arial" w:eastAsia="Arial" w:hAnsi="Arial"/>
          <w:color w:val="1A1A2E"/>
          <w:sz w:val="22"/>
          <w:szCs w:val="22"/>
        </w:rPr>
        <w:t xml:space="preserve">Activa y ejecuta el workflow</w:t>
      </w:r>
    </w:p>
    <w:p>
      <w:pPr>
        <w:pStyle w:val="Heading1"/>
        <w:pBdr>
          <w:bottom w:val="single" w:color="00C87A" w:sz="8" w:space="4"/>
        </w:pBdr>
        <w:spacing w:before="480" w:after="200"/>
      </w:pPr>
      <w:r>
        <w:rPr>
          <w:rFonts w:ascii="Arial" w:cs="Arial" w:eastAsia="Arial" w:hAnsi="Arial"/>
          <w:b/>
          <w:bCs/>
          <w:color w:val="1A1A2E"/>
          <w:sz w:val="32"/>
          <w:szCs w:val="32"/>
        </w:rPr>
        <w:t xml:space="preserve">7. Guía de Extensibilidad</w:t>
      </w:r>
    </w:p>
    <w:p>
      <w:pPr>
        <w:pStyle w:val="Heading2"/>
        <w:spacing w:before="320" w:after="120"/>
      </w:pPr>
      <w:r>
        <w:rPr>
          <w:rFonts w:ascii="Arial" w:cs="Arial" w:eastAsia="Arial" w:hAnsi="Arial"/>
          <w:b/>
          <w:bCs/>
          <w:color w:val="6247CC"/>
          <w:sz w:val="26"/>
          <w:szCs w:val="26"/>
        </w:rPr>
        <w:t xml:space="preserve">7.1 Agregar una Nueva Transformación</w:t>
      </w:r>
    </w:p>
    <w:p>
      <w:pPr>
        <w:spacing w:before="80" w:after="80"/>
      </w:pPr>
      <w:r>
        <w:rPr>
          <w:rFonts w:ascii="Arial" w:cs="Arial" w:eastAsia="Arial" w:hAnsi="Arial"/>
          <w:color w:val="1A1A2E"/>
          <w:sz w:val="22"/>
          <w:szCs w:val="22"/>
        </w:rPr>
        <w:t xml:space="preserve">Para añadir una nueva opción de transformación al panel de opciones:</w:t>
      </w:r>
    </w:p>
    <w:p>
      <w:pPr>
        <w:pStyle w:val="ListParagraph"/>
        <w:numPr>
          <w:ilvl w:val="0"/>
          <w:numId w:val="3"/>
        </w:numPr>
        <w:spacing w:before="60" w:after="60"/>
      </w:pPr>
      <w:r>
        <w:rPr>
          <w:rFonts w:ascii="Arial" w:cs="Arial" w:eastAsia="Arial" w:hAnsi="Arial"/>
          <w:color w:val="1A1A2E"/>
          <w:sz w:val="22"/>
          <w:szCs w:val="22"/>
        </w:rPr>
        <w:t xml:space="preserve">Agrega un nuevo &lt;label class="option-card"&gt; en el HTML (sección 3.7)</w:t>
      </w:r>
    </w:p>
    <w:p>
      <w:pPr>
        <w:pStyle w:val="ListParagraph"/>
        <w:numPr>
          <w:ilvl w:val="0"/>
          <w:numId w:val="3"/>
        </w:numPr>
        <w:spacing w:before="60" w:after="60"/>
      </w:pPr>
      <w:r>
        <w:rPr>
          <w:rFonts w:ascii="Arial" w:cs="Arial" w:eastAsia="Arial" w:hAnsi="Arial"/>
          <w:color w:val="1A1A2E"/>
          <w:sz w:val="22"/>
          <w:szCs w:val="22"/>
        </w:rPr>
        <w:t xml:space="preserve">Agrega la lectura del checkbox en getTransformOptions() → retorna el nuevo flag</w:t>
      </w:r>
    </w:p>
    <w:p>
      <w:pPr>
        <w:pStyle w:val="ListParagraph"/>
        <w:numPr>
          <w:ilvl w:val="0"/>
          <w:numId w:val="3"/>
        </w:numPr>
        <w:spacing w:before="60" w:after="60"/>
      </w:pPr>
      <w:r>
        <w:rPr>
          <w:rFonts w:ascii="Arial" w:cs="Arial" w:eastAsia="Arial" w:hAnsi="Arial"/>
          <w:color w:val="1A1A2E"/>
          <w:sz w:val="22"/>
          <w:szCs w:val="22"/>
        </w:rPr>
        <w:t xml:space="preserve">Implementa la lógica en applyTransformations() usando el flag recibido</w:t>
      </w:r>
    </w:p>
    <w:p>
      <w:pPr>
        <w:pStyle w:val="ListParagraph"/>
        <w:numPr>
          <w:ilvl w:val="0"/>
          <w:numId w:val="3"/>
        </w:numPr>
        <w:spacing w:before="60" w:after="60"/>
      </w:pPr>
      <w:r>
        <w:rPr>
          <w:rFonts w:ascii="Arial" w:cs="Arial" w:eastAsia="Arial" w:hAnsi="Arial"/>
          <w:color w:val="1A1A2E"/>
          <w:sz w:val="22"/>
          <w:szCs w:val="22"/>
        </w:rPr>
        <w:t xml:space="preserve">Agrega una llamada a log() para confirmar la transformación al usuario</w:t>
      </w:r>
    </w:p>
    <w:p>
      <w:pPr>
        <w:spacing w:before="160" w:after="0"/>
      </w:pPr>
    </w:p>
    <w:p>
      <w:pPr>
        <w:pStyle w:val="Heading2"/>
        <w:spacing w:before="320" w:after="120"/>
      </w:pPr>
      <w:r>
        <w:rPr>
          <w:rFonts w:ascii="Arial" w:cs="Arial" w:eastAsia="Arial" w:hAnsi="Arial"/>
          <w:b/>
          <w:bCs/>
          <w:color w:val="6247CC"/>
          <w:sz w:val="26"/>
          <w:szCs w:val="26"/>
        </w:rPr>
        <w:t xml:space="preserve">7.2 Soportar Otro Formato de Salida (ej: TSV, JSON)</w:t>
      </w:r>
    </w:p>
    <w:p>
      <w:pPr>
        <w:pStyle w:val="ListParagraph"/>
        <w:numPr>
          <w:ilvl w:val="0"/>
          <w:numId w:val="3"/>
        </w:numPr>
        <w:spacing w:before="60" w:after="60"/>
      </w:pPr>
      <w:r>
        <w:rPr>
          <w:rFonts w:ascii="Arial" w:cs="Arial" w:eastAsia="Arial" w:hAnsi="Arial"/>
          <w:color w:val="1A1A2E"/>
          <w:sz w:val="22"/>
          <w:szCs w:val="22"/>
        </w:rPr>
        <w:t xml:space="preserve">Agrega un botón en .actions (sección 3.8)</w:t>
      </w:r>
    </w:p>
    <w:p>
      <w:pPr>
        <w:pStyle w:val="ListParagraph"/>
        <w:numPr>
          <w:ilvl w:val="0"/>
          <w:numId w:val="3"/>
        </w:numPr>
        <w:spacing w:before="60" w:after="60"/>
      </w:pPr>
      <w:r>
        <w:rPr>
          <w:rFonts w:ascii="Arial" w:cs="Arial" w:eastAsia="Arial" w:hAnsi="Arial"/>
          <w:color w:val="1A1A2E"/>
          <w:sz w:val="22"/>
          <w:szCs w:val="22"/>
        </w:rPr>
        <w:t xml:space="preserve">Crea una nueva función export (ej: exportToTSV()) siguiendo el patrón de exportToCSV()</w:t>
      </w:r>
    </w:p>
    <w:p>
      <w:pPr>
        <w:pStyle w:val="ListParagraph"/>
        <w:numPr>
          <w:ilvl w:val="0"/>
          <w:numId w:val="3"/>
        </w:numPr>
        <w:spacing w:before="60" w:after="60"/>
      </w:pPr>
      <w:r>
        <w:rPr>
          <w:rFonts w:ascii="Arial" w:cs="Arial" w:eastAsia="Arial" w:hAnsi="Arial"/>
          <w:color w:val="1A1A2E"/>
          <w:sz w:val="22"/>
          <w:szCs w:val="22"/>
        </w:rPr>
        <w:t xml:space="preserve">Cambia el delimitador de coma a tabulación \t en el join de la fila</w:t>
      </w:r>
    </w:p>
    <w:p>
      <w:pPr>
        <w:pStyle w:val="ListParagraph"/>
        <w:numPr>
          <w:ilvl w:val="0"/>
          <w:numId w:val="3"/>
        </w:numPr>
        <w:spacing w:before="60" w:after="60"/>
      </w:pPr>
      <w:r>
        <w:rPr>
          <w:rFonts w:ascii="Arial" w:cs="Arial" w:eastAsia="Arial" w:hAnsi="Arial"/>
          <w:color w:val="1A1A2E"/>
          <w:sz w:val="22"/>
          <w:szCs w:val="22"/>
        </w:rPr>
        <w:t xml:space="preserve">Actualiza el tipo MIME del Blob y la extensión del archivo</w:t>
      </w:r>
    </w:p>
    <w:p>
      <w:pPr>
        <w:spacing w:before="160" w:after="0"/>
      </w:pPr>
    </w:p>
    <w:p>
      <w:pPr>
        <w:pStyle w:val="Heading2"/>
        <w:spacing w:before="320" w:after="120"/>
      </w:pPr>
      <w:r>
        <w:rPr>
          <w:rFonts w:ascii="Arial" w:cs="Arial" w:eastAsia="Arial" w:hAnsi="Arial"/>
          <w:b/>
          <w:bCs/>
          <w:color w:val="6247CC"/>
          <w:sz w:val="26"/>
          <w:szCs w:val="26"/>
        </w:rPr>
        <w:t xml:space="preserve">7.3 Agregar un Nodo al Flujo n8n</w:t>
      </w:r>
    </w:p>
    <w:p>
      <w:pPr>
        <w:spacing w:before="80" w:after="80"/>
      </w:pPr>
      <w:r>
        <w:rPr>
          <w:rFonts w:ascii="Arial" w:cs="Arial" w:eastAsia="Arial" w:hAnsi="Arial"/>
          <w:color w:val="1A1A2E"/>
          <w:sz w:val="22"/>
          <w:szCs w:val="22"/>
        </w:rPr>
        <w:t xml:space="preserve">El flujo n8n se genera en generateN8nFlow(). Para añadir un nodo adicional:</w:t>
      </w:r>
    </w:p>
    <w:p>
      <w:pPr>
        <w:pStyle w:val="ListParagraph"/>
        <w:numPr>
          <w:ilvl w:val="0"/>
          <w:numId w:val="3"/>
        </w:numPr>
        <w:spacing w:before="60" w:after="60"/>
      </w:pPr>
      <w:r>
        <w:rPr>
          <w:rFonts w:ascii="Arial" w:cs="Arial" w:eastAsia="Arial" w:hAnsi="Arial"/>
          <w:color w:val="1A1A2E"/>
          <w:sz w:val="22"/>
          <w:szCs w:val="22"/>
        </w:rPr>
        <w:t xml:space="preserve">Añade un objeto a la propiedad nodes[] con id, name, type, position y parameters</w:t>
      </w:r>
    </w:p>
    <w:p>
      <w:pPr>
        <w:pStyle w:val="ListParagraph"/>
        <w:numPr>
          <w:ilvl w:val="0"/>
          <w:numId w:val="3"/>
        </w:numPr>
        <w:spacing w:before="60" w:after="60"/>
      </w:pPr>
      <w:r>
        <w:rPr>
          <w:rFonts w:ascii="Arial" w:cs="Arial" w:eastAsia="Arial" w:hAnsi="Arial"/>
          <w:color w:val="1A1A2E"/>
          <w:sz w:val="22"/>
          <w:szCs w:val="22"/>
        </w:rPr>
        <w:t xml:space="preserve">Añade la conexión en connections{} referenciando los nombres exactos de los nodos</w:t>
      </w:r>
    </w:p>
    <w:p>
      <w:pPr>
        <w:pStyle w:val="ListParagraph"/>
        <w:numPr>
          <w:ilvl w:val="0"/>
          <w:numId w:val="3"/>
        </w:numPr>
        <w:spacing w:before="60" w:after="60"/>
      </w:pPr>
      <w:r>
        <w:rPr>
          <w:rFonts w:ascii="Arial" w:cs="Arial" w:eastAsia="Arial" w:hAnsi="Arial"/>
          <w:color w:val="1A1A2E"/>
          <w:sz w:val="22"/>
          <w:szCs w:val="22"/>
        </w:rPr>
        <w:t xml:space="preserve">Añade el nodo visual correspondiente en el array que genera el innerHTML del diagrama</w:t>
      </w:r>
    </w:p>
    <w:p>
      <w:r>
        <w:br w:type="page"/>
      </w:r>
    </w:p>
    <w:p>
      <w:pPr>
        <w:pStyle w:val="Heading1"/>
        <w:pBdr>
          <w:bottom w:val="single" w:color="00C87A" w:sz="8" w:space="4"/>
        </w:pBdr>
        <w:spacing w:before="480" w:after="200"/>
      </w:pPr>
      <w:r>
        <w:rPr>
          <w:rFonts w:ascii="Arial" w:cs="Arial" w:eastAsia="Arial" w:hAnsi="Arial"/>
          <w:b/>
          <w:bCs/>
          <w:color w:val="1A1A2E"/>
          <w:sz w:val="32"/>
          <w:szCs w:val="32"/>
        </w:rPr>
        <w:t xml:space="preserve">8.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DDDEE" w:sz="1"/>
              <w:left w:val="single" w:color="DDDDEE" w:sz="1"/>
              <w:bottom w:val="single" w:color="DDDDEE" w:sz="1"/>
              <w:right w:val="single" w:color="DDDDEE" w:sz="1"/>
            </w:tcBorders>
            <w:shd w:fill="E8E8F6"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Término</w:t>
            </w:r>
          </w:p>
        </w:tc>
        <w:tc>
          <w:tcPr>
            <w:tcW w:type="dxa" w:w="7360"/>
            <w:tcBorders>
              <w:top w:val="single" w:color="DDDDEE" w:sz="1"/>
              <w:left w:val="single" w:color="DDDDEE" w:sz="1"/>
              <w:bottom w:val="single" w:color="DDDDEE" w:sz="1"/>
              <w:right w:val="single" w:color="DDDDEE" w:sz="1"/>
            </w:tcBorders>
            <w:shd w:fill="E8E8F6"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Definición</w:t>
            </w:r>
          </w:p>
        </w:tc>
      </w:tr>
      <w:tr>
        <w:tc>
          <w:tcPr>
            <w:tcW w:type="dxa" w:w="20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ETL</w:t>
            </w:r>
          </w:p>
        </w:tc>
        <w:tc>
          <w:tcPr>
            <w:tcW w:type="dxa" w:w="736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Extract, Transform, Load — proceso de extracción, transformación y carga de datos</w:t>
            </w:r>
          </w:p>
        </w:tc>
      </w:tr>
      <w:tr>
        <w:tc>
          <w:tcPr>
            <w:tcW w:type="dxa" w:w="2000"/>
            <w:tcBorders>
              <w:top w:val="single" w:color="DDDDEE" w:sz="1"/>
              <w:left w:val="single" w:color="DDDDEE" w:sz="1"/>
              <w:bottom w:val="single" w:color="DDDDEE" w:sz="1"/>
              <w:right w:val="single" w:color="DDDDEE" w:sz="1"/>
            </w:tcBorders>
            <w:shd w:fill="F4F4FA" w:val="clear"/>
            <w:tcMar>
              <w:top w:type="dxa" w:w="80"/>
              <w:left w:type="dxa" w:w="140"/>
              <w:bottom w:type="dxa" w:w="80"/>
              <w:right w:type="dxa" w:w="140"/>
            </w:tcMar>
          </w:tcPr>
          <w:p>
            <w:r>
              <w:rPr>
                <w:rFonts w:ascii="Arial" w:cs="Arial" w:eastAsia="Arial" w:hAnsi="Arial"/>
                <w:color w:val="1A1A2E"/>
                <w:sz w:val="20"/>
                <w:szCs w:val="20"/>
              </w:rPr>
              <w:t xml:space="preserve">SheetJS</w:t>
            </w:r>
          </w:p>
        </w:tc>
        <w:tc>
          <w:tcPr>
            <w:tcW w:type="dxa" w:w="7360"/>
            <w:tcBorders>
              <w:top w:val="single" w:color="DDDDEE" w:sz="1"/>
              <w:left w:val="single" w:color="DDDDEE" w:sz="1"/>
              <w:bottom w:val="single" w:color="DDDDEE" w:sz="1"/>
              <w:right w:val="single" w:color="DDDDEE" w:sz="1"/>
            </w:tcBorders>
            <w:shd w:fill="F4F4FA" w:val="clear"/>
            <w:tcMar>
              <w:top w:type="dxa" w:w="80"/>
              <w:left w:type="dxa" w:w="140"/>
              <w:bottom w:type="dxa" w:w="80"/>
              <w:right w:type="dxa" w:w="140"/>
            </w:tcMar>
          </w:tcPr>
          <w:p>
            <w:r>
              <w:rPr>
                <w:rFonts w:ascii="Arial" w:cs="Arial" w:eastAsia="Arial" w:hAnsi="Arial"/>
                <w:color w:val="1A1A2E"/>
                <w:sz w:val="20"/>
                <w:szCs w:val="20"/>
              </w:rPr>
              <w:t xml:space="preserve">Librería JavaScript open-source para leer y escribir archivos Excel en el navegador</w:t>
            </w:r>
          </w:p>
        </w:tc>
      </w:tr>
      <w:tr>
        <w:tc>
          <w:tcPr>
            <w:tcW w:type="dxa" w:w="20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BOM</w:t>
            </w:r>
          </w:p>
        </w:tc>
        <w:tc>
          <w:tcPr>
            <w:tcW w:type="dxa" w:w="736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Byte Order Mark — secuencia de bytes al inicio de un archivo que indica la codificación (UTF-8: EF BB BF)</w:t>
            </w:r>
          </w:p>
        </w:tc>
      </w:tr>
      <w:tr>
        <w:tc>
          <w:tcPr>
            <w:tcW w:type="dxa" w:w="2000"/>
            <w:tcBorders>
              <w:top w:val="single" w:color="DDDDEE" w:sz="1"/>
              <w:left w:val="single" w:color="DDDDEE" w:sz="1"/>
              <w:bottom w:val="single" w:color="DDDDEE" w:sz="1"/>
              <w:right w:val="single" w:color="DDDDEE" w:sz="1"/>
            </w:tcBorders>
            <w:shd w:fill="F4F4FA" w:val="clear"/>
            <w:tcMar>
              <w:top w:type="dxa" w:w="80"/>
              <w:left w:type="dxa" w:w="140"/>
              <w:bottom w:type="dxa" w:w="80"/>
              <w:right w:type="dxa" w:w="140"/>
            </w:tcMar>
          </w:tcPr>
          <w:p>
            <w:r>
              <w:rPr>
                <w:rFonts w:ascii="Arial" w:cs="Arial" w:eastAsia="Arial" w:hAnsi="Arial"/>
                <w:color w:val="1A1A2E"/>
                <w:sz w:val="20"/>
                <w:szCs w:val="20"/>
              </w:rPr>
              <w:t xml:space="preserve">RFC 4180</w:t>
            </w:r>
          </w:p>
        </w:tc>
        <w:tc>
          <w:tcPr>
            <w:tcW w:type="dxa" w:w="7360"/>
            <w:tcBorders>
              <w:top w:val="single" w:color="DDDDEE" w:sz="1"/>
              <w:left w:val="single" w:color="DDDDEE" w:sz="1"/>
              <w:bottom w:val="single" w:color="DDDDEE" w:sz="1"/>
              <w:right w:val="single" w:color="DDDDEE" w:sz="1"/>
            </w:tcBorders>
            <w:shd w:fill="F4F4FA" w:val="clear"/>
            <w:tcMar>
              <w:top w:type="dxa" w:w="80"/>
              <w:left w:type="dxa" w:w="140"/>
              <w:bottom w:type="dxa" w:w="80"/>
              <w:right w:type="dxa" w:w="140"/>
            </w:tcMar>
          </w:tcPr>
          <w:p>
            <w:r>
              <w:rPr>
                <w:rFonts w:ascii="Arial" w:cs="Arial" w:eastAsia="Arial" w:hAnsi="Arial"/>
                <w:color w:val="1A1A2E"/>
                <w:sz w:val="20"/>
                <w:szCs w:val="20"/>
              </w:rPr>
              <w:t xml:space="preserve">Estándar que define el formato CSV: delimitador coma, CRLF, valores con comas entre comillas</w:t>
            </w:r>
          </w:p>
        </w:tc>
      </w:tr>
      <w:tr>
        <w:tc>
          <w:tcPr>
            <w:tcW w:type="dxa" w:w="20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n8n</w:t>
            </w:r>
          </w:p>
        </w:tc>
        <w:tc>
          <w:tcPr>
            <w:tcW w:type="dxa" w:w="736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Herramienta de automatización de flujos de trabajo (workflow automation) open-source</w:t>
            </w:r>
          </w:p>
        </w:tc>
      </w:tr>
      <w:tr>
        <w:tc>
          <w:tcPr>
            <w:tcW w:type="dxa" w:w="2000"/>
            <w:tcBorders>
              <w:top w:val="single" w:color="DDDDEE" w:sz="1"/>
              <w:left w:val="single" w:color="DDDDEE" w:sz="1"/>
              <w:bottom w:val="single" w:color="DDDDEE" w:sz="1"/>
              <w:right w:val="single" w:color="DDDDEE" w:sz="1"/>
            </w:tcBorders>
            <w:shd w:fill="F4F4FA" w:val="clear"/>
            <w:tcMar>
              <w:top w:type="dxa" w:w="80"/>
              <w:left w:type="dxa" w:w="140"/>
              <w:bottom w:type="dxa" w:w="80"/>
              <w:right w:type="dxa" w:w="140"/>
            </w:tcMar>
          </w:tcPr>
          <w:p>
            <w:r>
              <w:rPr>
                <w:rFonts w:ascii="Arial" w:cs="Arial" w:eastAsia="Arial" w:hAnsi="Arial"/>
                <w:color w:val="1A1A2E"/>
                <w:sz w:val="20"/>
                <w:szCs w:val="20"/>
              </w:rPr>
              <w:t xml:space="preserve">SFA</w:t>
            </w:r>
          </w:p>
        </w:tc>
        <w:tc>
          <w:tcPr>
            <w:tcW w:type="dxa" w:w="7360"/>
            <w:tcBorders>
              <w:top w:val="single" w:color="DDDDEE" w:sz="1"/>
              <w:left w:val="single" w:color="DDDDEE" w:sz="1"/>
              <w:bottom w:val="single" w:color="DDDDEE" w:sz="1"/>
              <w:right w:val="single" w:color="DDDDEE" w:sz="1"/>
            </w:tcBorders>
            <w:shd w:fill="F4F4FA" w:val="clear"/>
            <w:tcMar>
              <w:top w:type="dxa" w:w="80"/>
              <w:left w:type="dxa" w:w="140"/>
              <w:bottom w:type="dxa" w:w="80"/>
              <w:right w:type="dxa" w:w="140"/>
            </w:tcMar>
          </w:tcPr>
          <w:p>
            <w:r>
              <w:rPr>
                <w:rFonts w:ascii="Arial" w:cs="Arial" w:eastAsia="Arial" w:hAnsi="Arial"/>
                <w:color w:val="1A1A2E"/>
                <w:sz w:val="20"/>
                <w:szCs w:val="20"/>
              </w:rPr>
              <w:t xml:space="preserve">Single File Application — toda la aplicación en un único archivo HTML autocontenido</w:t>
            </w:r>
          </w:p>
        </w:tc>
      </w:tr>
      <w:tr>
        <w:tc>
          <w:tcPr>
            <w:tcW w:type="dxa" w:w="20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CSP</w:t>
            </w:r>
          </w:p>
        </w:tc>
        <w:tc>
          <w:tcPr>
            <w:tcW w:type="dxa" w:w="736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Content Security Policy — política de seguridad del navegador que controla qué recursos se pueden cargar</w:t>
            </w:r>
          </w:p>
        </w:tc>
      </w:tr>
      <w:tr>
        <w:tc>
          <w:tcPr>
            <w:tcW w:type="dxa" w:w="2000"/>
            <w:tcBorders>
              <w:top w:val="single" w:color="DDDDEE" w:sz="1"/>
              <w:left w:val="single" w:color="DDDDEE" w:sz="1"/>
              <w:bottom w:val="single" w:color="DDDDEE" w:sz="1"/>
              <w:right w:val="single" w:color="DDDDEE" w:sz="1"/>
            </w:tcBorders>
            <w:shd w:fill="F4F4FA" w:val="clear"/>
            <w:tcMar>
              <w:top w:type="dxa" w:w="80"/>
              <w:left w:type="dxa" w:w="140"/>
              <w:bottom w:type="dxa" w:w="80"/>
              <w:right w:type="dxa" w:w="140"/>
            </w:tcMar>
          </w:tcPr>
          <w:p>
            <w:r>
              <w:rPr>
                <w:rFonts w:ascii="Arial" w:cs="Arial" w:eastAsia="Arial" w:hAnsi="Arial"/>
                <w:color w:val="1A1A2E"/>
                <w:sz w:val="20"/>
                <w:szCs w:val="20"/>
              </w:rPr>
              <w:t xml:space="preserve">ARIA</w:t>
            </w:r>
          </w:p>
        </w:tc>
        <w:tc>
          <w:tcPr>
            <w:tcW w:type="dxa" w:w="7360"/>
            <w:tcBorders>
              <w:top w:val="single" w:color="DDDDEE" w:sz="1"/>
              <w:left w:val="single" w:color="DDDDEE" w:sz="1"/>
              <w:bottom w:val="single" w:color="DDDDEE" w:sz="1"/>
              <w:right w:val="single" w:color="DDDDEE" w:sz="1"/>
            </w:tcBorders>
            <w:shd w:fill="F4F4FA" w:val="clear"/>
            <w:tcMar>
              <w:top w:type="dxa" w:w="80"/>
              <w:left w:type="dxa" w:w="140"/>
              <w:bottom w:type="dxa" w:w="80"/>
              <w:right w:type="dxa" w:w="140"/>
            </w:tcMar>
          </w:tcPr>
          <w:p>
            <w:r>
              <w:rPr>
                <w:rFonts w:ascii="Arial" w:cs="Arial" w:eastAsia="Arial" w:hAnsi="Arial"/>
                <w:color w:val="1A1A2E"/>
                <w:sz w:val="20"/>
                <w:szCs w:val="20"/>
              </w:rPr>
              <w:t xml:space="preserve">Accessible Rich Internet Applications — atributos HTML para mejorar la accesibilidad</w:t>
            </w:r>
          </w:p>
        </w:tc>
      </w:tr>
      <w:tr>
        <w:tc>
          <w:tcPr>
            <w:tcW w:type="dxa" w:w="20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client-side</w:t>
            </w:r>
          </w:p>
        </w:tc>
        <w:tc>
          <w:tcPr>
            <w:tcW w:type="dxa" w:w="736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Procesamiento que ocurre en el navegador del usuario, sin enviar datos al servidor</w:t>
            </w:r>
          </w:p>
        </w:tc>
      </w:tr>
    </w:tbl>
    <w:p>
      <w:pPr>
        <w:spacing w:before="400" w:after="0"/>
      </w:pPr>
    </w:p>
    <w:p>
      <w:pPr>
        <w:pBdr>
          <w:bottom w:val="single" w:color="00C87A" w:sz="6" w:space="1"/>
        </w:pBdr>
        <w:spacing w:before="120" w:after="120"/>
      </w:pPr>
    </w:p>
    <w:p>
      <w:pPr>
        <w:spacing w:before="160"/>
        <w:jc w:val="center"/>
      </w:pPr>
      <w:r>
        <w:rPr>
          <w:rFonts w:ascii="Arial" w:cs="Arial" w:eastAsia="Arial" w:hAnsi="Arial"/>
          <w:color w:val="6B6B8A"/>
          <w:sz w:val="18"/>
          <w:szCs w:val="18"/>
        </w:rPr>
        <w:t xml:space="preserve">ETL Tool v1.0.0  ·  Documentación generada automáticamente</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EE" w:sz="4" w:space="2"/>
      </w:pBdr>
      <w:spacing w:before="80"/>
    </w:pPr>
    <w:r>
      <w:rPr>
        <w:rFonts w:ascii="Arial" w:cs="Arial" w:eastAsia="Arial" w:hAnsi="Arial"/>
        <w:color w:val="6B6B8A"/>
        <w:sz w:val="16"/>
        <w:szCs w:val="16"/>
      </w:rPr>
      <w:t xml:space="preserve">ETL Tool · Buenas Prácticas  </w:t>
    </w:r>
    <w:r>
      <w:rPr>
        <w:rFonts w:ascii="Arial" w:cs="Arial" w:eastAsia="Arial" w:hAnsi="Arial"/>
        <w:color w:val="6B6B8A"/>
        <w:sz w:val="16"/>
        <w:szCs w:val="16"/>
      </w:rPr>
      <w:t xml:space="preserve">·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87A" w:sz="4" w:space="2"/>
      </w:pBdr>
      <w:spacing w:after="80"/>
    </w:pPr>
    <w:r>
      <w:rPr>
        <w:rFonts w:ascii="Arial" w:cs="Arial" w:eastAsia="Arial" w:hAnsi="Arial"/>
        <w:color w:val="6B6B8A"/>
        <w:sz w:val="18"/>
        <w:szCs w:val="18"/>
      </w:rPr>
      <w:t xml:space="preserve">ETL Tool v1.0  —  Documentación Técnica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320" w:after="120"/>
      <w:outlineLvl w:val="1"/>
    </w:pPr>
    <w:rPr>
      <w:rFonts w:ascii="Arial" w:cs="Arial" w:eastAsia="Arial" w:hAnsi="Arial"/>
      <w:b/>
      <w:bCs/>
      <w:color w:val="6247CC"/>
      <w:sz w:val="26"/>
      <w:szCs w:val="26"/>
    </w:rPr>
  </w:style>
  <w:style w:type="paragraph" w:styleId="Heading3">
    <w:name w:val="Heading 3"/>
    <w:basedOn w:val="Normal"/>
    <w:next w:val="Normal"/>
    <w:qFormat/>
    <w:pPr>
      <w:spacing w:before="240" w:after="8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2026-03-03T19:09:08.561Z</dcterms:created>
  <dcterms:modified xsi:type="dcterms:W3CDTF">2026-03-03T19:09:08.562Z</dcterms:modified>
</cp:coreProperties>
</file>

<file path=docProps/custom.xml><?xml version="1.0" encoding="utf-8"?>
<Properties xmlns="http://schemas.openxmlformats.org/officeDocument/2006/custom-properties" xmlns:vt="http://schemas.openxmlformats.org/officeDocument/2006/docPropsVTypes"/>
</file>