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e28bc9cf1f4a1c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400" w:after="400"/>
        <w:jc w:val="center"/>
      </w:pPr>
      <w:r>
        <w:rPr>
          <w:b/>
          <w:color w:val="005566"/>
          <w:sz w:val="36"/>
        </w:rPr>
        <w:t>Risk Analizi Raporu</w:t>
      </w:r>
    </w:p>
    <w:p/>
    <w:tbl>
      <w:tblPr>
        <w:tblBorders>
          <w:top w:val="single" w:sz="12"/>
          <w:bottom w:val="single" w:sz="12"/>
          <w:left w:val="single" w:sz="12"/>
          <w:right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left"/>
            </w:pPr>
            <w:r>
              <w:t>OSGB: İlterisg OSGB</w:t>
            </w:r>
          </w:p>
          <w:tcPr>
            <w:tcW w:w="10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İşyeri: FEZAR</w:t>
            </w:r>
          </w:p>
          <w:tcPr>
            <w:tcW w:w="10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Faaliyet Alanı: Patent aracılığı ve pazarlama hizmeti faaliyetleri</w:t>
            </w:r>
          </w:p>
          <w:tcPr>
            <w:tcW w:w="10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Yöntem: Fine-Kinney</w:t>
            </w:r>
          </w:p>
          <w:tcPr>
            <w:tcW w:w="10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Tarih: 4 Eylül 2025</w:t>
            </w:r>
          </w:p>
          <w:tcPr>
            <w:tcW w:w="1000" w:type="pct"/>
            <w:vAlign w:val="center"/>
          </w:tcPr>
        </w:tc>
      </w:tr>
    </w:tbl>
    <w:p/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eski binalar, yıkım çalışmaları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içeren malzemelerin düzenli kontrolü, uzman ekip tarafından kaldırma işlemleri, koruyucu ekipman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Hasarlı kablolar, yetersiz topraklama, kaçak akım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Kaçak akım rölesi, düzenli elektrik kontrolleri, izolasyonlu kablolar, personel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10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asdasd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Sağlığa Zararlı İşlerde Çalışma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 kaynakları, hava kirliliği,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Radyasyona maruz kalma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sistemlerinin düzenli bakımı, radyasyon ölçüm cihazları, koruyucu donanım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Radyasyona Maruz Kalma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pgSz w:w="16838" w:h="11906" w:orient="landscape"/>
      <w:pgMar w:top="720" w:right="720" w:bottom="1440" w:left="720" w:header="360" w:footer="720" w:gutter="0"/>
      <w:footerReference xmlns:r="http://schemas.openxmlformats.org/officeDocument/2006/relationships" w:type="default" r:id="R12fede24a45c4428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12fede24a45c4428" /></Relationships>
</file>