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a8lkehmgfvm6" w:id="0"/>
      <w:bookmarkEnd w:id="0"/>
      <w:r w:rsidDel="00000000" w:rsidR="00000000" w:rsidRPr="00000000">
        <w:rPr>
          <w:rtl w:val="0"/>
        </w:rPr>
        <w:t xml:space="preserve">Instructions for running the group flow project</w:t>
      </w:r>
    </w:p>
    <w:p w:rsidR="00000000" w:rsidDel="00000000" w:rsidP="00000000" w:rsidRDefault="00000000" w:rsidRPr="00000000">
      <w:pPr>
        <w:pStyle w:val="Heading2"/>
        <w:contextualSpacing w:val="0"/>
      </w:pPr>
      <w:bookmarkStart w:colFirst="0" w:colLast="0" w:name="h.tclt8wvrnulh" w:id="1"/>
      <w:bookmarkEnd w:id="1"/>
      <w:r w:rsidDel="00000000" w:rsidR="00000000" w:rsidRPr="00000000">
        <w:rPr>
          <w:rtl w:val="0"/>
        </w:rPr>
        <w:t xml:space="preserve">Prepping ECG subjects</w:t>
      </w:r>
    </w:p>
    <w:p w:rsidR="00000000" w:rsidDel="00000000" w:rsidP="00000000" w:rsidRDefault="00000000" w:rsidRPr="00000000">
      <w:pPr>
        <w:numPr>
          <w:ilvl w:val="0"/>
          <w:numId w:val="2"/>
        </w:numPr>
        <w:ind w:left="720" w:hanging="360"/>
        <w:contextualSpacing w:val="1"/>
        <w:rPr>
          <w:rFonts w:ascii="Lato" w:cs="Lato" w:eastAsia="Lato" w:hAnsi="Lato"/>
          <w:b w:val="0"/>
          <w:sz w:val="22"/>
          <w:szCs w:val="22"/>
        </w:rPr>
      </w:pPr>
      <w:r w:rsidDel="00000000" w:rsidR="00000000" w:rsidRPr="00000000">
        <w:rPr>
          <w:rtl w:val="0"/>
        </w:rPr>
        <w:t xml:space="preserve">Electrode sites should be prepped with abrasion, and ideally hairless and flat.</w:t>
      </w:r>
    </w:p>
    <w:p w:rsidR="00000000" w:rsidDel="00000000" w:rsidP="00000000" w:rsidRDefault="00000000" w:rsidRPr="00000000">
      <w:pPr>
        <w:numPr>
          <w:ilvl w:val="0"/>
          <w:numId w:val="2"/>
        </w:numPr>
        <w:ind w:left="720" w:hanging="360"/>
        <w:contextualSpacing w:val="1"/>
        <w:rPr>
          <w:rFonts w:ascii="Lato" w:cs="Lato" w:eastAsia="Lato" w:hAnsi="Lato"/>
          <w:b w:val="0"/>
          <w:sz w:val="22"/>
          <w:szCs w:val="22"/>
        </w:rPr>
      </w:pPr>
      <w:r w:rsidDel="00000000" w:rsidR="00000000" w:rsidRPr="00000000">
        <w:rPr>
          <w:rtl w:val="0"/>
        </w:rPr>
        <w:t xml:space="preserve">If the electrode patches are too dry, some saline or gel can be added.</w:t>
      </w:r>
    </w:p>
    <w:p w:rsidR="00000000" w:rsidDel="00000000" w:rsidP="00000000" w:rsidRDefault="00000000" w:rsidRPr="00000000">
      <w:pPr>
        <w:numPr>
          <w:ilvl w:val="0"/>
          <w:numId w:val="2"/>
        </w:numPr>
        <w:ind w:left="720" w:hanging="360"/>
        <w:contextualSpacing w:val="1"/>
        <w:rPr>
          <w:rFonts w:ascii="Lato" w:cs="Lato" w:eastAsia="Lato" w:hAnsi="Lato"/>
          <w:b w:val="0"/>
          <w:sz w:val="22"/>
          <w:szCs w:val="22"/>
        </w:rPr>
      </w:pPr>
      <w:r w:rsidDel="00000000" w:rsidR="00000000" w:rsidRPr="00000000">
        <w:rPr>
          <w:rtl w:val="0"/>
        </w:rPr>
        <w:t xml:space="preserve">Red (+) electrode on the left side under the collarbone. </w:t>
      </w:r>
    </w:p>
    <w:p w:rsidR="00000000" w:rsidDel="00000000" w:rsidP="00000000" w:rsidRDefault="00000000" w:rsidRPr="00000000">
      <w:pPr>
        <w:numPr>
          <w:ilvl w:val="0"/>
          <w:numId w:val="2"/>
        </w:numPr>
        <w:ind w:left="720" w:hanging="360"/>
        <w:contextualSpacing w:val="1"/>
        <w:rPr>
          <w:rFonts w:ascii="Lato" w:cs="Lato" w:eastAsia="Lato" w:hAnsi="Lato"/>
          <w:b w:val="0"/>
          <w:sz w:val="22"/>
          <w:szCs w:val="22"/>
        </w:rPr>
      </w:pPr>
      <w:r w:rsidDel="00000000" w:rsidR="00000000" w:rsidRPr="00000000">
        <w:rPr>
          <w:rtl w:val="0"/>
        </w:rPr>
        <w:t xml:space="preserve">White (-) electrode on the right side.  Ideally the heart is equidistant between the red and white electrodes</w:t>
      </w:r>
    </w:p>
    <w:p w:rsidR="00000000" w:rsidDel="00000000" w:rsidP="00000000" w:rsidRDefault="00000000" w:rsidRPr="00000000">
      <w:pPr>
        <w:numPr>
          <w:ilvl w:val="0"/>
          <w:numId w:val="2"/>
        </w:numPr>
        <w:ind w:left="720" w:hanging="360"/>
        <w:contextualSpacing w:val="1"/>
        <w:rPr>
          <w:rFonts w:ascii="Lato" w:cs="Lato" w:eastAsia="Lato" w:hAnsi="Lato"/>
          <w:b w:val="0"/>
          <w:sz w:val="22"/>
          <w:szCs w:val="22"/>
        </w:rPr>
      </w:pPr>
      <w:r w:rsidDel="00000000" w:rsidR="00000000" w:rsidRPr="00000000">
        <w:rPr>
          <w:rtl w:val="0"/>
        </w:rPr>
        <w:t xml:space="preserve">Black (ground) electrode’s placement is pretty flexible.  It can be about equidistant between the red and white.  Can be above collarbone to avoid hair.  Or can be on a limb.  </w:t>
      </w:r>
    </w:p>
    <w:p w:rsidR="00000000" w:rsidDel="00000000" w:rsidP="00000000" w:rsidRDefault="00000000" w:rsidRPr="00000000">
      <w:pPr>
        <w:pStyle w:val="Heading2"/>
        <w:contextualSpacing w:val="0"/>
      </w:pPr>
      <w:bookmarkStart w:colFirst="0" w:colLast="0" w:name="h.1avmlm8q5sn3" w:id="2"/>
      <w:bookmarkEnd w:id="2"/>
      <w:r w:rsidDel="00000000" w:rsidR="00000000" w:rsidRPr="00000000">
        <w:rPr>
          <w:rtl w:val="0"/>
        </w:rPr>
        <w:t xml:space="preserve">Recording the data</w:t>
      </w:r>
    </w:p>
    <w:p w:rsidR="00000000" w:rsidDel="00000000" w:rsidP="00000000" w:rsidRDefault="00000000" w:rsidRPr="00000000">
      <w:pPr>
        <w:contextualSpacing w:val="0"/>
      </w:pPr>
      <w:r w:rsidDel="00000000" w:rsidR="00000000" w:rsidRPr="00000000">
        <w:rPr>
          <w:rtl w:val="0"/>
        </w:rPr>
        <w:t xml:space="preserve">Use the adsRecord Max / MSP patch to record the raw data.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Open the patch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“open” box associated with the sfplay object having the correct # of channels to be recorded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“X” toggle box linked to the correct sfplay object to start the recording.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Confirm that it was successful by seeing the associated time indicator start to count 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Note that the max .aiff filesize is a bit over 2GB.  With 16 channels, this occurs at 1397 seconds.  When the max is reached, no more data is written to the file, so ideally stop before this point (by clicking the “X” again), or stop once noticed.  Then a new file can be started.  Change the name by clicking “Open” again.</w:t>
      </w:r>
    </w:p>
    <w:p w:rsidR="00000000" w:rsidDel="00000000" w:rsidP="00000000" w:rsidRDefault="00000000" w:rsidRPr="00000000">
      <w:pPr>
        <w:pStyle w:val="Heading1"/>
        <w:contextualSpacing w:val="0"/>
      </w:pPr>
      <w:bookmarkStart w:colFirst="0" w:colLast="0" w:name="h.1fmhuoyx5y06" w:id="3"/>
      <w:bookmarkEnd w:id="3"/>
      <w:r w:rsidDel="00000000" w:rsidR="00000000" w:rsidRPr="00000000">
        <w:rPr>
          <w:rtl w:val="0"/>
        </w:rPr>
        <w:t xml:space="preserve">Notes, lessons learned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best sync that WS noticed occurred when everyone was following Chris.  In large groups, instead of representing everyone’s signal to the group, having just one signal that everyone syncs to might work better. It could be an automatic metronome or a group median.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volume slider bar we were using in Max is very logarithmic.  It’s pretty important to balance everyone’s volume, so a numerical volume dial would be better.  We had the group at ~80% and Chris at 100% for awhile, and after lowering Chris’s volume, the aggregate volume went down </w:t>
      </w:r>
      <w:r w:rsidDel="00000000" w:rsidR="00000000" w:rsidRPr="00000000">
        <w:rPr>
          <w:i w:val="1"/>
          <w:rtl w:val="0"/>
        </w:rPr>
        <w:t xml:space="preserve">a lot</w:t>
      </w:r>
      <w:r w:rsidDel="00000000" w:rsidR="00000000" w:rsidRPr="00000000">
        <w:rPr>
          <w:rtl w:val="0"/>
        </w:rPr>
        <w:t xml:space="preserve"> indicating that his was totally dominating.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people could privately hear their signal (e.g. with earbuds) while only hearing the group signal in the public soundspace, that might be an effective combination.  A useful dimensionality reduction.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