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455" w:firstLine="0"/>
        <w:rPr>
          <w:color w:val="000000"/>
        </w:rPr>
      </w:pPr>
      <w:r w:rsidDel="00000000" w:rsidR="00000000" w:rsidRPr="00000000">
        <w:rPr>
          <w:color w:val="000000"/>
        </w:rPr>
        <w:drawing>
          <wp:inline distB="19050" distT="19050" distL="19050" distR="19050">
            <wp:extent cx="2838450" cy="638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4" w:line="240" w:lineRule="auto"/>
        <w:ind w:left="2788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FACILITY ASSESSMENT SNAPSHOT 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4" w:line="240" w:lineRule="auto"/>
        <w:ind w:left="4571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{state}</w:t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40"/>
        <w:gridCol w:w="4460"/>
        <w:tblGridChange w:id="0">
          <w:tblGrid>
            <w:gridCol w:w="5140"/>
            <w:gridCol w:w="4460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Name of Facility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7" w:right="128" w:hanging="18.000000000000007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{facilityName}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Location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3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{location}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EMR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6" w:firstLine="0"/>
              <w:rPr>
                <w:i w:val="1"/>
                <w:iCs w:val="1"/>
                <w:color w:val="202124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{emr}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5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Census Capacity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{censusCapacity}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5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Current Census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{currentCensus}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Type of Patient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8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{patientType}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Previous Coverage from Medelite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5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{prevCoverage}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Previous Provider Performance from Medelite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5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{prevPerformance}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Medical Coverage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{medCoverage}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4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Overall Star Rating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{overallRating}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Health Inspection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{healthInspection}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Staffing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{staffing}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4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Quality of Resident Care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{qualityCare}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Short Term Hospitalization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{strHosp}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STR National Avg. for Hospitalization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{strHospNat}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STR State National Avg. for Hospitalization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{strHospState}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STR ED Visit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{strED}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STR ED Visits National Avg.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{strEDNat}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STR ED Visits State Avg.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{strEDState}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LT Hospitalization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{ltHosp}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LT National Avg. for Hospitalization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{ltHospNat}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LT State National Avg. for Hospitalization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{ltHospState}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ED Visit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{ltED}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LT ED Visits National Avg.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{ltEDNat}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LT ED Visits State Avg.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{ltEDState}</w:t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  <w:t xml:space="preserve">Medicare Care Compare: {medicareUrl}</w:t>
      </w:r>
    </w:p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50" w:top="750" w:left="1430" w:right="12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