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5F"/>
          <w:sz w:val="36"/>
        </w:rPr>
        <w:t>ANÁLISIS DEL PLIEGO DE PETICIONES</w:t>
      </w:r>
    </w:p>
    <w:p>
      <w:pPr>
        <w:jc w:val="center"/>
      </w:pPr>
      <w:r>
        <w:rPr>
          <w:b/>
          <w:color w:val="1F3A5F"/>
          <w:sz w:val="28"/>
        </w:rPr>
        <w:t>SINTRAUNIEMCALI</w:t>
      </w:r>
    </w:p>
    <w:p>
      <w:pPr>
        <w:jc w:val="center"/>
      </w:pPr>
      <w:r>
        <w:rPr>
          <w:color w:val="555555"/>
          <w:sz w:val="22"/>
        </w:rPr>
        <w:t>vs.</w:t>
      </w:r>
    </w:p>
    <w:p>
      <w:pPr>
        <w:jc w:val="center"/>
      </w:pPr>
      <w:r>
        <w:rPr>
          <w:b/>
          <w:color w:val="1F3A5F"/>
          <w:sz w:val="24"/>
        </w:rPr>
        <w:t>Sociedad de Acueducto, Alcantarillado y Aseo de Buenaventura — SAAAB S.A. E.S.P.</w:t>
      </w:r>
    </w:p>
    <w:p>
      <w:pPr>
        <w:jc w:val="center"/>
      </w:pPr>
      <w:r>
        <w:rPr>
          <w:i/>
          <w:color w:val="555555"/>
          <w:sz w:val="20"/>
        </w:rPr>
        <w:t>Perspectiva y análisis desde la posición de la Empresa  |  Junio 2026</w:t>
      </w:r>
    </w:p>
    <w:p>
      <w:r>
        <w:rPr>
          <w:b/>
          <w:color w:val="1F3A5F"/>
          <w:sz w:val="28"/>
        </w:rPr>
        <w:t>1. CONTEXTO GENERAL</w:t>
      </w:r>
    </w:p>
    <w:p>
      <w:r>
        <w:t>SINTRAUNIEMCALI (personería jurídica No. 00001179 del 3 de junio de 2010) radicó ante SAAAB S.A. E.S.P. un Pliego de Peticiones que propone una Convención Colectiva de Trabajo de 52 artículos organizados en 9 capítulos, originalmente concebida para regir entre el 1° de julio de 2023 y el 30 de junio de 2024 (Art. 52), vigencia que a la fecha del presente análisis ya se encuentra vencida.</w:t>
      </w:r>
    </w:p>
    <w:p>
      <w:r>
        <w:t>El presente documento evalúa cada artículo desde la perspectiva de los intereses, la autonomía administrativa y, de manera prioritaria, la sostenibilidad financiera de SAAAB.</w:t>
      </w:r>
    </w:p>
    <w:tbl>
      <w:tblPr>
        <w:tblStyle w:val="TableGrid"/>
        <w:tblW w:type="auto" w:w="0"/>
        <w:tblLook w:firstColumn="1" w:firstRow="1" w:lastColumn="0" w:lastRow="0" w:noHBand="0" w:noVBand="1" w:val="04A0"/>
      </w:tblPr>
      <w:tblGrid>
        <w:gridCol w:w="8640"/>
      </w:tblGrid>
      <w:tr>
        <w:tc>
          <w:tcPr>
            <w:tcW w:type="dxa" w:w="8640"/>
            <w:shd w:val="clear" w:color="auto" w:fill="FDECEA"/>
          </w:tcPr>
          <w:p>
            <w:r/>
            <w:r>
              <w:rPr>
                <w:b/>
                <w:color w:val="C0392B"/>
                <w:sz w:val="20"/>
              </w:rPr>
              <w:t xml:space="preserve">DIRECTRIZ DE NEGOCIACIÓN DEFINIDA POR LA EMPRESA: </w:t>
            </w:r>
            <w:r>
              <w:rPr>
                <w:sz w:val="20"/>
              </w:rPr>
              <w:t>La Empresa ha establecido como línea de negociación NO conceder ni negociar ningún artículo que genere una erogación económica o que comprometa recursos adicionales (financieros, de capital, de tiempo remunerado o de capacidad operativa). En consecuencia, solo se aceptarán los artículos que sean (i) puramente declarativos, (ii) una reiteración de obligaciones legales ya existentes —que no añaden costo nuevo— o (iii) favorables o neutros para la Empresa. Todo beneficio extralegal con costo será RECHAZADO.</w:t>
            </w:r>
          </w:p>
        </w:tc>
      </w:tr>
    </w:tbl>
    <w:p>
      <w:r>
        <w:rPr>
          <w:b/>
          <w:color w:val="1F3A5F"/>
          <w:sz w:val="28"/>
        </w:rPr>
        <w:t>2. RESUMEN EJECUTIVO DE CONVENIENCIA</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F3A5F"/>
          </w:tcPr>
          <w:p>
            <w:r/>
            <w:r>
              <w:rPr>
                <w:b/>
                <w:color w:val="FFFFFF"/>
                <w:sz w:val="19"/>
              </w:rPr>
              <w:t>Capítulo / Tema</w:t>
            </w:r>
          </w:p>
        </w:tc>
        <w:tc>
          <w:tcPr>
            <w:tcW w:type="dxa" w:w="4896"/>
            <w:shd w:val="clear" w:color="auto" w:fill="1F3A5F"/>
          </w:tcPr>
          <w:p>
            <w:r/>
            <w:r>
              <w:rPr>
                <w:b/>
                <w:color w:val="FFFFFF"/>
                <w:sz w:val="19"/>
              </w:rPr>
              <w:t>Resumen del impacto para SAAAB</w:t>
            </w:r>
          </w:p>
        </w:tc>
        <w:tc>
          <w:tcPr>
            <w:tcW w:type="dxa" w:w="2304"/>
            <w:shd w:val="clear" w:color="auto" w:fill="1F3A5F"/>
          </w:tcPr>
          <w:p>
            <w:r/>
            <w:r>
              <w:rPr>
                <w:b/>
                <w:color w:val="FFFFFF"/>
                <w:sz w:val="19"/>
              </w:rPr>
              <w:t>Postura</w:t>
            </w:r>
          </w:p>
        </w:tc>
      </w:tr>
      <w:tr>
        <w:tc>
          <w:tcPr>
            <w:tcW w:type="dxa" w:w="2880"/>
          </w:tcPr>
          <w:p>
            <w:r/>
            <w:r>
              <w:rPr>
                <w:b/>
                <w:sz w:val="18"/>
              </w:rPr>
              <w:t>Cap. I — Derechos Fundamentales</w:t>
            </w:r>
          </w:p>
        </w:tc>
        <w:tc>
          <w:tcPr>
            <w:tcW w:type="dxa" w:w="4896"/>
          </w:tcPr>
          <w:p>
            <w:r/>
            <w:r>
              <w:rPr>
                <w:b w:val="0"/>
                <w:sz w:val="18"/>
              </w:rPr>
              <w:t>Reconocimiento sindical es legal (aceptable). Estabilidad reforzada e indemnización extralegal generan alto costo y limitan la terminación.</w:t>
            </w:r>
          </w:p>
        </w:tc>
        <w:tc>
          <w:tcPr>
            <w:tcW w:type="dxa" w:w="2304"/>
          </w:tcPr>
          <w:p>
            <w:r/>
            <w:r>
              <w:rPr>
                <w:b/>
                <w:color w:val="C0392B"/>
                <w:sz w:val="18"/>
              </w:rPr>
              <w:t>RECHAZAR (Art. 3)</w:t>
            </w:r>
          </w:p>
        </w:tc>
      </w:tr>
      <w:tr>
        <w:tc>
          <w:tcPr>
            <w:tcW w:type="dxa" w:w="2880"/>
          </w:tcPr>
          <w:p>
            <w:r/>
            <w:r>
              <w:rPr>
                <w:b/>
                <w:sz w:val="18"/>
              </w:rPr>
              <w:t>Cap. II — Fortalecimiento Empresarial</w:t>
            </w:r>
          </w:p>
        </w:tc>
        <w:tc>
          <w:tcPr>
            <w:tcW w:type="dxa" w:w="4896"/>
          </w:tcPr>
          <w:p>
            <w:r/>
            <w:r>
              <w:rPr>
                <w:b w:val="0"/>
                <w:sz w:val="18"/>
              </w:rPr>
              <w:t>Capacitación abierta (costo), planta 100% indefinida y regresión de jornada (recargos permanentes).</w:t>
            </w:r>
          </w:p>
        </w:tc>
        <w:tc>
          <w:tcPr>
            <w:tcW w:type="dxa" w:w="2304"/>
          </w:tcPr>
          <w:p>
            <w:r/>
            <w:r>
              <w:rPr>
                <w:b/>
                <w:color w:val="C0392B"/>
                <w:sz w:val="18"/>
              </w:rPr>
              <w:t>RECHAZAR</w:t>
            </w:r>
          </w:p>
        </w:tc>
      </w:tr>
      <w:tr>
        <w:tc>
          <w:tcPr>
            <w:tcW w:type="dxa" w:w="2880"/>
          </w:tcPr>
          <w:p>
            <w:r/>
            <w:r>
              <w:rPr>
                <w:b/>
                <w:sz w:val="18"/>
              </w:rPr>
              <w:t>Cap. III — Comités Paritarios</w:t>
            </w:r>
          </w:p>
        </w:tc>
        <w:tc>
          <w:tcPr>
            <w:tcW w:type="dxa" w:w="4896"/>
          </w:tcPr>
          <w:p>
            <w:r/>
            <w:r>
              <w:rPr>
                <w:b w:val="0"/>
                <w:sz w:val="18"/>
              </w:rPr>
              <w:t>Comités comprometen tiempo y la cláusula de nulidad limita la potestad disciplinaria.</w:t>
            </w:r>
          </w:p>
        </w:tc>
        <w:tc>
          <w:tcPr>
            <w:tcW w:type="dxa" w:w="2304"/>
          </w:tcPr>
          <w:p>
            <w:r/>
            <w:r>
              <w:rPr>
                <w:b/>
                <w:color w:val="C0392B"/>
                <w:sz w:val="18"/>
              </w:rPr>
              <w:t>RECHAZAR cláusula vinculante</w:t>
            </w:r>
          </w:p>
        </w:tc>
      </w:tr>
      <w:tr>
        <w:tc>
          <w:tcPr>
            <w:tcW w:type="dxa" w:w="2880"/>
          </w:tcPr>
          <w:p>
            <w:r/>
            <w:r>
              <w:rPr>
                <w:b/>
                <w:sz w:val="18"/>
              </w:rPr>
              <w:t>Cap. IV — Garantías Sindicales</w:t>
            </w:r>
          </w:p>
        </w:tc>
        <w:tc>
          <w:tcPr>
            <w:tcW w:type="dxa" w:w="4896"/>
          </w:tcPr>
          <w:p>
            <w:r/>
            <w:r>
              <w:rPr>
                <w:b w:val="0"/>
                <w:sz w:val="18"/>
              </w:rPr>
              <w:t>Auxilios, viáticos y permisos remunerados = erogación directa y recurrente.</w:t>
            </w:r>
          </w:p>
        </w:tc>
        <w:tc>
          <w:tcPr>
            <w:tcW w:type="dxa" w:w="2304"/>
          </w:tcPr>
          <w:p>
            <w:r/>
            <w:r>
              <w:rPr>
                <w:b/>
                <w:color w:val="C0392B"/>
                <w:sz w:val="18"/>
              </w:rPr>
              <w:t>RECHAZAR lo económico</w:t>
            </w:r>
          </w:p>
        </w:tc>
      </w:tr>
      <w:tr>
        <w:tc>
          <w:tcPr>
            <w:tcW w:type="dxa" w:w="2880"/>
          </w:tcPr>
          <w:p>
            <w:r/>
            <w:r>
              <w:rPr>
                <w:b/>
                <w:sz w:val="18"/>
              </w:rPr>
              <w:t>Cap. V — Garantías Laborales</w:t>
            </w:r>
          </w:p>
        </w:tc>
        <w:tc>
          <w:tcPr>
            <w:tcW w:type="dxa" w:w="4896"/>
          </w:tcPr>
          <w:p>
            <w:r/>
            <w:r>
              <w:rPr>
                <w:b w:val="0"/>
                <w:sz w:val="18"/>
              </w:rPr>
              <w:t>Dotación (legal) aceptable; extensiones generan costo.</w:t>
            </w:r>
          </w:p>
        </w:tc>
        <w:tc>
          <w:tcPr>
            <w:tcW w:type="dxa" w:w="2304"/>
          </w:tcPr>
          <w:p>
            <w:r/>
            <w:r>
              <w:rPr>
                <w:b/>
                <w:color w:val="B87A00"/>
                <w:sz w:val="18"/>
              </w:rPr>
              <w:t>MIXTO</w:t>
            </w:r>
          </w:p>
        </w:tc>
      </w:tr>
      <w:tr>
        <w:tc>
          <w:tcPr>
            <w:tcW w:type="dxa" w:w="2880"/>
          </w:tcPr>
          <w:p>
            <w:r/>
            <w:r>
              <w:rPr>
                <w:b/>
                <w:sz w:val="18"/>
              </w:rPr>
              <w:t>Cap. VI — Bienestar Social</w:t>
            </w:r>
          </w:p>
        </w:tc>
        <w:tc>
          <w:tcPr>
            <w:tcW w:type="dxa" w:w="4896"/>
          </w:tcPr>
          <w:p>
            <w:r/>
            <w:r>
              <w:rPr>
                <w:b w:val="0"/>
                <w:sz w:val="18"/>
              </w:rPr>
              <w:t>Auxilios educativos, funerarios y permisos remunerados = costo recurrente.</w:t>
            </w:r>
          </w:p>
        </w:tc>
        <w:tc>
          <w:tcPr>
            <w:tcW w:type="dxa" w:w="2304"/>
          </w:tcPr>
          <w:p>
            <w:r/>
            <w:r>
              <w:rPr>
                <w:b/>
                <w:color w:val="C0392B"/>
                <w:sz w:val="18"/>
              </w:rPr>
              <w:t>RECHAZAR</w:t>
            </w:r>
          </w:p>
        </w:tc>
      </w:tr>
      <w:tr>
        <w:tc>
          <w:tcPr>
            <w:tcW w:type="dxa" w:w="2880"/>
          </w:tcPr>
          <w:p>
            <w:r/>
            <w:r>
              <w:rPr>
                <w:b/>
                <w:sz w:val="18"/>
              </w:rPr>
              <w:t>Cap. VII — Compensaciones y Salarios</w:t>
            </w:r>
          </w:p>
        </w:tc>
        <w:tc>
          <w:tcPr>
            <w:tcW w:type="dxa" w:w="4896"/>
          </w:tcPr>
          <w:p>
            <w:r/>
            <w:r>
              <w:rPr>
                <w:b w:val="0"/>
                <w:sz w:val="18"/>
              </w:rPr>
              <w:t>Núcleo de costo: piso salarial, incremento IPC+3, primas extralegales, primas de riesgo, incapacidad 100%.</w:t>
            </w:r>
          </w:p>
        </w:tc>
        <w:tc>
          <w:tcPr>
            <w:tcW w:type="dxa" w:w="2304"/>
          </w:tcPr>
          <w:p>
            <w:r/>
            <w:r>
              <w:rPr>
                <w:b/>
                <w:color w:val="C0392B"/>
                <w:sz w:val="18"/>
              </w:rPr>
              <w:t>RECHAZAR (salvo lo legal)</w:t>
            </w:r>
          </w:p>
        </w:tc>
      </w:tr>
      <w:tr>
        <w:tc>
          <w:tcPr>
            <w:tcW w:type="dxa" w:w="2880"/>
          </w:tcPr>
          <w:p>
            <w:r/>
            <w:r>
              <w:rPr>
                <w:b/>
                <w:sz w:val="18"/>
              </w:rPr>
              <w:t>Cap. VIII — Salud y otros auxilios</w:t>
            </w:r>
          </w:p>
        </w:tc>
        <w:tc>
          <w:tcPr>
            <w:tcW w:type="dxa" w:w="4896"/>
          </w:tcPr>
          <w:p>
            <w:r/>
            <w:r>
              <w:rPr>
                <w:b w:val="0"/>
                <w:sz w:val="18"/>
              </w:rPr>
              <w:t>Múltiples auxilios y fondos = erogación; duplicidades. EPP y botiquín son legales.</w:t>
            </w:r>
          </w:p>
        </w:tc>
        <w:tc>
          <w:tcPr>
            <w:tcW w:type="dxa" w:w="2304"/>
          </w:tcPr>
          <w:p>
            <w:r/>
            <w:r>
              <w:rPr>
                <w:b/>
                <w:color w:val="C0392B"/>
                <w:sz w:val="18"/>
              </w:rPr>
              <w:t>RECHAZAR (salvo legal)</w:t>
            </w:r>
          </w:p>
        </w:tc>
      </w:tr>
      <w:tr>
        <w:tc>
          <w:tcPr>
            <w:tcW w:type="dxa" w:w="2880"/>
          </w:tcPr>
          <w:p>
            <w:r/>
            <w:r>
              <w:rPr>
                <w:b/>
                <w:sz w:val="18"/>
              </w:rPr>
              <w:t>Cap. IX — Vigencia y Disposiciones</w:t>
            </w:r>
          </w:p>
        </w:tc>
        <w:tc>
          <w:tcPr>
            <w:tcW w:type="dxa" w:w="4896"/>
          </w:tcPr>
          <w:p>
            <w:r/>
            <w:r>
              <w:rPr>
                <w:b w:val="0"/>
                <w:sz w:val="18"/>
              </w:rPr>
              <w:t>Sustitución patronal (legal). Vigencia vencida; pago quincenal compromete recursos operativos.</w:t>
            </w:r>
          </w:p>
        </w:tc>
        <w:tc>
          <w:tcPr>
            <w:tcW w:type="dxa" w:w="2304"/>
          </w:tcPr>
          <w:p>
            <w:r/>
            <w:r>
              <w:rPr>
                <w:b/>
                <w:color w:val="B87A00"/>
                <w:sz w:val="18"/>
              </w:rPr>
              <w:t>MIXTO</w:t>
            </w:r>
          </w:p>
        </w:tc>
      </w:tr>
    </w:tbl>
    <w:p>
      <w:r>
        <w:rPr>
          <w:b/>
          <w:color w:val="1F3A5F"/>
          <w:sz w:val="28"/>
        </w:rPr>
        <w:t>3. CAPÍTULO I — DERECHOS FUNDAMENTALES</w:t>
      </w:r>
    </w:p>
    <w:p>
      <w:r>
        <w:rPr>
          <w:b/>
          <w:color w:val="1F3A5F"/>
          <w:sz w:val="22"/>
        </w:rPr>
        <w:t xml:space="preserve">Art. 1 — Reconocimiento Prevalente de la Convención    </w:t>
      </w:r>
      <w:r>
        <w:rPr>
          <w:b/>
          <w:color w:val="B87A00"/>
          <w:sz w:val="20"/>
        </w:rPr>
        <w:t>ACEPTAR PARCIALMENTE</w:t>
      </w:r>
    </w:p>
    <w:p>
      <w:r>
        <w:rPr>
          <w:b/>
          <w:i/>
          <w:sz w:val="19"/>
        </w:rPr>
        <w:t xml:space="preserve">¿Qué pide el sindicato? </w:t>
      </w:r>
      <w:r>
        <w:rPr>
          <w:sz w:val="19"/>
        </w:rPr>
        <w:t>Reconocer a SINTRAUNIEMCALI como sindicato titular de la convención y comprometerse con el principio de progresividad y la no regresividad laboral.</w:t>
      </w:r>
    </w:p>
    <w:p>
      <w:r>
        <w:rPr>
          <w:b/>
          <w:sz w:val="19"/>
        </w:rPr>
        <w:t xml:space="preserve">Análisis de conveniencia para SAAAB: </w:t>
      </w:r>
      <w:r>
        <w:rPr>
          <w:sz w:val="19"/>
        </w:rPr>
        <w:t>ACEPTAR SOLO EL RECONOCIMIENTO. El reconocimiento del sindicato es una obligación legal (Arts. 39 y 55 C.P.) y no genera costo. Sin embargo, la cláusula de "no regresividad" debe RECHAZARSE: blinda todo beneficio e impide ajustar o eliminar concesiones a futuro, comprometiendo la flexibilidad financiera de la Empresa de forma indefinida.</w:t>
      </w:r>
    </w:p>
    <w:p>
      <w:r>
        <w:rPr>
          <w:b/>
          <w:color w:val="1F3A5F"/>
          <w:sz w:val="22"/>
        </w:rPr>
        <w:t xml:space="preserve">Art. 2 — El Trabajo como Derecho Fundamental    </w:t>
      </w:r>
      <w:r>
        <w:rPr>
          <w:b/>
          <w:color w:val="1E8A4C"/>
          <w:sz w:val="20"/>
        </w:rPr>
        <w:t>ACEPTAR</w:t>
      </w:r>
    </w:p>
    <w:p>
      <w:r>
        <w:rPr>
          <w:b/>
          <w:i/>
          <w:sz w:val="19"/>
        </w:rPr>
        <w:t xml:space="preserve">¿Qué pide el sindicato? </w:t>
      </w:r>
      <w:r>
        <w:rPr>
          <w:sz w:val="19"/>
        </w:rPr>
        <w:t>Respeto a los derechos adquiridos y fundamentales, incluido el trabajo en condiciones de dignidad y equidad.</w:t>
      </w:r>
    </w:p>
    <w:p>
      <w:r>
        <w:rPr>
          <w:b/>
          <w:sz w:val="19"/>
        </w:rPr>
        <w:t xml:space="preserve">Análisis de conveniencia para SAAAB: </w:t>
      </w:r>
      <w:r>
        <w:rPr>
          <w:sz w:val="19"/>
        </w:rPr>
        <w:t>CONVENIENTE. Es una declaración de principios sin obligaciones económicas adicionales y alineada con la Constitución. No genera erogación ni riesgo. Aceptable.</w:t>
      </w:r>
    </w:p>
    <w:p>
      <w:r>
        <w:rPr>
          <w:b/>
          <w:color w:val="1F3A5F"/>
          <w:sz w:val="22"/>
        </w:rPr>
        <w:t xml:space="preserve">Art. 3 — Estabilidad Laboral (indemnización 45 días + reintegro judicial)    </w:t>
      </w:r>
      <w:r>
        <w:rPr>
          <w:b/>
          <w:color w:val="C0392B"/>
          <w:sz w:val="20"/>
        </w:rPr>
        <w:t>RECHAZAR</w:t>
      </w:r>
    </w:p>
    <w:p>
      <w:r>
        <w:rPr>
          <w:b/>
          <w:i/>
          <w:sz w:val="19"/>
        </w:rPr>
        <w:t xml:space="preserve">¿Qué pide el sindicato? </w:t>
      </w:r>
      <w:r>
        <w:rPr>
          <w:sz w:val="19"/>
        </w:rPr>
        <w:t>Indemnización de 45 días por año hasta 5 años; reintegro por decisión judicial con pago de salarios, prestaciones dejadas de percibir y aportes para quienes superen 5 años.</w:t>
      </w:r>
    </w:p>
    <w:p>
      <w:r>
        <w:rPr>
          <w:b/>
          <w:sz w:val="19"/>
        </w:rPr>
        <w:t xml:space="preserve">Análisis de conveniencia para SAAAB: </w:t>
      </w:r>
      <w:r>
        <w:rPr>
          <w:sz w:val="19"/>
        </w:rPr>
        <w:t>RECHAZAR. Genera una erogación potencialmente ilimitada (indemnizaciones superiores a la ley, salarios caídos, aportes retroactivos) y crea una estabilidad reforzada convencional que elimina de hecho la facultad de terminación del contrato. Contraproponer únicamente la indemnización legal del Art. 64 CST.</w:t>
      </w:r>
    </w:p>
    <w:p>
      <w:r>
        <w:rPr>
          <w:b/>
          <w:color w:val="1F3A5F"/>
          <w:sz w:val="28"/>
        </w:rPr>
        <w:t>4. CAPÍTULO II — FORTALECIMIENTO EMPRESARIAL</w:t>
      </w:r>
    </w:p>
    <w:p>
      <w:r>
        <w:rPr>
          <w:b/>
          <w:color w:val="1F3A5F"/>
          <w:sz w:val="22"/>
        </w:rPr>
        <w:t xml:space="preserve">Art. 4 — Eficiencia Empresarial (capacitación)    </w:t>
      </w:r>
      <w:r>
        <w:rPr>
          <w:b/>
          <w:color w:val="C0392B"/>
          <w:sz w:val="20"/>
        </w:rPr>
        <w:t>RECHAZAR COMO ESTÁ</w:t>
      </w:r>
    </w:p>
    <w:p>
      <w:r>
        <w:rPr>
          <w:b/>
          <w:i/>
          <w:sz w:val="19"/>
        </w:rPr>
        <w:t xml:space="preserve">¿Qué pide el sindicato? </w:t>
      </w:r>
      <w:r>
        <w:rPr>
          <w:sz w:val="19"/>
        </w:rPr>
        <w:t>Capacitar a los trabajadores en todas las áreas relacionadas con la prestación de los servicios.</w:t>
      </w:r>
    </w:p>
    <w:p>
      <w:r>
        <w:rPr>
          <w:b/>
          <w:sz w:val="19"/>
        </w:rPr>
        <w:t xml:space="preserve">Análisis de conveniencia para SAAAB: </w:t>
      </w:r>
      <w:r>
        <w:rPr>
          <w:sz w:val="19"/>
        </w:rPr>
        <w:t>RECHAZAR el compromiso abierto. Una obligación de capacitación "en todas las áreas" compromete recursos sin tope ni control. La capacitación debe mantenerse como facultad discrecional de la Empresa, sujeta al presupuesto anual disponible.</w:t>
      </w:r>
    </w:p>
    <w:p>
      <w:r>
        <w:rPr>
          <w:b/>
          <w:color w:val="1F3A5F"/>
          <w:sz w:val="22"/>
        </w:rPr>
        <w:t xml:space="preserve">Art. 5 — Planta de Personal y Estabilidad (todo a término indefinido)    </w:t>
      </w:r>
      <w:r>
        <w:rPr>
          <w:b/>
          <w:color w:val="C0392B"/>
          <w:sz w:val="20"/>
        </w:rPr>
        <w:t>RECHAZAR</w:t>
      </w:r>
    </w:p>
    <w:p>
      <w:r>
        <w:rPr>
          <w:b/>
          <w:i/>
          <w:sz w:val="19"/>
        </w:rPr>
        <w:t xml:space="preserve">¿Qué pide el sindicato? </w:t>
      </w:r>
      <w:r>
        <w:rPr>
          <w:sz w:val="19"/>
        </w:rPr>
        <w:t>Prestación directa de todos los servicios, vinculación 100% a término indefinido y abstención de terminar contratos sin justa causa.</w:t>
      </w:r>
    </w:p>
    <w:p>
      <w:r>
        <w:rPr>
          <w:b/>
          <w:sz w:val="19"/>
        </w:rPr>
        <w:t xml:space="preserve">Análisis de conveniencia para SAAAB: </w:t>
      </w:r>
      <w:r>
        <w:rPr>
          <w:sz w:val="19"/>
        </w:rPr>
        <w:t>RECHAZAR. Elimina la posibilidad de tercerizar servicios especializados o atender picos operativos, incrementa la estructura de costos fija y suprime la autonomía administrativa.</w:t>
      </w:r>
    </w:p>
    <w:p>
      <w:r>
        <w:rPr>
          <w:b/>
          <w:color w:val="1F3A5F"/>
          <w:sz w:val="22"/>
        </w:rPr>
        <w:t xml:space="preserve">Art. 6 — Jornada Laboral (regresión a régimen pre-Ley 789/2002)    </w:t>
      </w:r>
      <w:r>
        <w:rPr>
          <w:b/>
          <w:color w:val="C0392B"/>
          <w:sz w:val="20"/>
        </w:rPr>
        <w:t>RECHAZAR</w:t>
      </w:r>
    </w:p>
    <w:p>
      <w:r>
        <w:rPr>
          <w:b/>
          <w:i/>
          <w:sz w:val="19"/>
        </w:rPr>
        <w:t xml:space="preserve">¿Qué pide el sindicato? </w:t>
      </w:r>
      <w:r>
        <w:rPr>
          <w:sz w:val="19"/>
        </w:rPr>
        <w:t>Aplicar el régimen anterior a la Ley 789 de 2002 para trabajo ordinario y nocturno (recargos más altos).</w:t>
      </w:r>
    </w:p>
    <w:p>
      <w:r>
        <w:rPr>
          <w:b/>
          <w:sz w:val="19"/>
        </w:rPr>
        <w:t xml:space="preserve">Análisis de conveniencia para SAAAB: </w:t>
      </w:r>
      <w:r>
        <w:rPr>
          <w:sz w:val="19"/>
        </w:rPr>
        <w:t>RECHAZAR. Genera un incremento permanente y recurrente en recargos nocturnos, dominicales, festivos y horas extra. Mantener el régimen vigente de la Ley 789/2002. Conservar la potestad gerencial sobre jornada y turnos, que sí es favorable a la Empresa.</w:t>
      </w:r>
    </w:p>
    <w:p>
      <w:r>
        <w:rPr>
          <w:b/>
          <w:color w:val="1F3A5F"/>
          <w:sz w:val="28"/>
        </w:rPr>
        <w:t>5. CAPÍTULO III — COMITÉS PARITARIOS</w:t>
      </w:r>
    </w:p>
    <w:p>
      <w:r>
        <w:rPr>
          <w:b/>
          <w:color w:val="1F3A5F"/>
          <w:sz w:val="22"/>
        </w:rPr>
        <w:t xml:space="preserve">Art. 7 — Comités Paritarios (Gestión Humana, Bienestar y Obrero-Patronal)    </w:t>
      </w:r>
      <w:r>
        <w:rPr>
          <w:b/>
          <w:color w:val="C0392B"/>
          <w:sz w:val="20"/>
        </w:rPr>
        <w:t>RECHAZAR (vinculante y de costo)</w:t>
      </w:r>
    </w:p>
    <w:p>
      <w:r>
        <w:rPr>
          <w:b/>
          <w:i/>
          <w:sz w:val="19"/>
        </w:rPr>
        <w:t xml:space="preserve">¿Qué pide el sindicato? </w:t>
      </w:r>
      <w:r>
        <w:rPr>
          <w:sz w:val="19"/>
        </w:rPr>
        <w:t>Crear tres comités paritarios. El Obrero-Patronal interviene en sanciones y despidos, con un PARÁGRAFO que anula toda sanción o despido que desconozca el procedimiento.</w:t>
      </w:r>
    </w:p>
    <w:p>
      <w:r>
        <w:rPr>
          <w:b/>
          <w:sz w:val="19"/>
        </w:rPr>
        <w:t xml:space="preserve">Análisis de conveniencia para SAAAB: </w:t>
      </w:r>
      <w:r>
        <w:rPr>
          <w:sz w:val="19"/>
        </w:rPr>
        <w:t>RECHAZAR los componentes vinculantes y de costo. El Comité de Bienestar presupone gasto. El Obrero-Patronal, con su cláusula de nulidad, otorga al sindicato un veto fáctico sobre la potestad disciplinaria y dilata los procesos. A lo sumo, aceptar comités estrictamente consultivos, sin costo y sin efectos vinculantes.</w:t>
      </w:r>
    </w:p>
    <w:p>
      <w:r>
        <w:rPr>
          <w:b/>
          <w:color w:val="1F3A5F"/>
          <w:sz w:val="28"/>
        </w:rPr>
        <w:t>6. CAPÍTULO IV — GARANTÍAS SINDICALES</w:t>
      </w:r>
    </w:p>
    <w:p>
      <w:r>
        <w:rPr>
          <w:b/>
          <w:color w:val="1F3A5F"/>
          <w:sz w:val="22"/>
        </w:rPr>
        <w:t xml:space="preserve">Art. 8 — Garantías de Negociación Colectiva (permiso remunerado)    </w:t>
      </w:r>
      <w:r>
        <w:rPr>
          <w:b/>
          <w:color w:val="C0392B"/>
          <w:sz w:val="20"/>
        </w:rPr>
        <w:t>RECHAZAR (remunerado)</w:t>
      </w:r>
    </w:p>
    <w:p>
      <w:r>
        <w:rPr>
          <w:b/>
          <w:i/>
          <w:sz w:val="19"/>
        </w:rPr>
        <w:t xml:space="preserve">¿Qué pide el sindicato? </w:t>
      </w:r>
      <w:r>
        <w:rPr>
          <w:sz w:val="19"/>
        </w:rPr>
        <w:t>Permiso sindical remunerado durante toda la negociación y hasta 8 días después de la firma.</w:t>
      </w:r>
    </w:p>
    <w:p>
      <w:r>
        <w:rPr>
          <w:b/>
          <w:sz w:val="19"/>
        </w:rPr>
        <w:t xml:space="preserve">Análisis de conveniencia para SAAAB: </w:t>
      </w:r>
      <w:r>
        <w:rPr>
          <w:sz w:val="19"/>
        </w:rPr>
        <w:t>RECHAZAR la remuneración. Los permisos remunerados durante semanas de negociación constituyen una erogación directa. Ofrecer, a lo sumo, permisos no remunerados y limitados en número.</w:t>
      </w:r>
    </w:p>
    <w:p>
      <w:r>
        <w:rPr>
          <w:b/>
          <w:color w:val="1F3A5F"/>
          <w:sz w:val="22"/>
        </w:rPr>
        <w:t xml:space="preserve">Art. 9 — Cuota Sindical    </w:t>
      </w:r>
      <w:r>
        <w:rPr>
          <w:b/>
          <w:color w:val="1E8A4C"/>
          <w:sz w:val="20"/>
        </w:rPr>
        <w:t>ACEPTAR</w:t>
      </w:r>
    </w:p>
    <w:p>
      <w:r>
        <w:rPr>
          <w:b/>
          <w:i/>
          <w:sz w:val="19"/>
        </w:rPr>
        <w:t xml:space="preserve">¿Qué pide el sindicato? </w:t>
      </w:r>
      <w:r>
        <w:rPr>
          <w:sz w:val="19"/>
        </w:rPr>
        <w:t>Descontar y transferir las cuotas sindicales dentro de los 5 días siguientes al descuento.</w:t>
      </w:r>
    </w:p>
    <w:p>
      <w:r>
        <w:rPr>
          <w:b/>
          <w:sz w:val="19"/>
        </w:rPr>
        <w:t xml:space="preserve">Análisis de conveniencia para SAAAB: </w:t>
      </w:r>
      <w:r>
        <w:rPr>
          <w:sz w:val="19"/>
        </w:rPr>
        <w:t>CONVENIENTE. Es una obligación legal; la Empresa actúa solo como agente de retención y no asume costo. Aceptable.</w:t>
      </w:r>
    </w:p>
    <w:p>
      <w:r>
        <w:rPr>
          <w:b/>
          <w:color w:val="1F3A5F"/>
          <w:sz w:val="22"/>
        </w:rPr>
        <w:t xml:space="preserve">Art. 10 — Reconocimiento del Sindicato    </w:t>
      </w:r>
      <w:r>
        <w:rPr>
          <w:b/>
          <w:color w:val="1E8A4C"/>
          <w:sz w:val="20"/>
        </w:rPr>
        <w:t>ACEPTAR</w:t>
      </w:r>
    </w:p>
    <w:p>
      <w:r>
        <w:rPr>
          <w:b/>
          <w:i/>
          <w:sz w:val="19"/>
        </w:rPr>
        <w:t xml:space="preserve">¿Qué pide el sindicato? </w:t>
      </w:r>
      <w:r>
        <w:rPr>
          <w:sz w:val="19"/>
        </w:rPr>
        <w:t>Reconocer la personería jurídica del sindicato, sus federaciones y asesores externos.</w:t>
      </w:r>
    </w:p>
    <w:p>
      <w:r>
        <w:rPr>
          <w:b/>
          <w:sz w:val="19"/>
        </w:rPr>
        <w:t xml:space="preserve">Análisis de conveniencia para SAAAB: </w:t>
      </w:r>
      <w:r>
        <w:rPr>
          <w:sz w:val="19"/>
        </w:rPr>
        <w:t>CONVENIENTE. Reconocimiento de orden legal, sin costo. Aceptable.</w:t>
      </w:r>
    </w:p>
    <w:p>
      <w:r>
        <w:rPr>
          <w:b/>
          <w:color w:val="1F3A5F"/>
          <w:sz w:val="22"/>
        </w:rPr>
        <w:t xml:space="preserve">Art. 11 — Reunión con la Gerencia    </w:t>
      </w:r>
      <w:r>
        <w:rPr>
          <w:b/>
          <w:color w:val="1E8A4C"/>
          <w:sz w:val="20"/>
        </w:rPr>
        <w:t>ACEPTAR (con flexibilidad)</w:t>
      </w:r>
    </w:p>
    <w:p>
      <w:r>
        <w:rPr>
          <w:b/>
          <w:i/>
          <w:sz w:val="19"/>
        </w:rPr>
        <w:t xml:space="preserve">¿Qué pide el sindicato? </w:t>
      </w:r>
      <w:r>
        <w:rPr>
          <w:sz w:val="19"/>
        </w:rPr>
        <w:t>Reunión mínima mensual entre Gerencia y Junta Directiva sindical.</w:t>
      </w:r>
    </w:p>
    <w:p>
      <w:r>
        <w:rPr>
          <w:b/>
          <w:sz w:val="19"/>
        </w:rPr>
        <w:t xml:space="preserve">Análisis de conveniencia para SAAAB: </w:t>
      </w:r>
      <w:r>
        <w:rPr>
          <w:sz w:val="19"/>
        </w:rPr>
        <w:t>ACEPTABLE. No genera erogación; solo compromete tiempo gerencial. Se recomienda pactar periodicidad flexible o bimestral y levantamiento de actas.</w:t>
      </w:r>
    </w:p>
    <w:p>
      <w:r>
        <w:rPr>
          <w:b/>
          <w:color w:val="1F3A5F"/>
          <w:sz w:val="22"/>
        </w:rPr>
        <w:t xml:space="preserve">Art. 12 — Derecho a la Información    </w:t>
      </w:r>
      <w:r>
        <w:rPr>
          <w:b/>
          <w:color w:val="B87A00"/>
          <w:sz w:val="20"/>
        </w:rPr>
        <w:t>ACEPTAR CON ALCANCE LIMITADO</w:t>
      </w:r>
    </w:p>
    <w:p>
      <w:r>
        <w:rPr>
          <w:b/>
          <w:i/>
          <w:sz w:val="19"/>
        </w:rPr>
        <w:t xml:space="preserve">¿Qué pide el sindicato? </w:t>
      </w:r>
      <w:r>
        <w:rPr>
          <w:sz w:val="19"/>
        </w:rPr>
        <w:t>Acceso a contratos, licitaciones, convenios y políticas de personal, con respuesta en 5 días hábiles.</w:t>
      </w:r>
    </w:p>
    <w:p>
      <w:r>
        <w:rPr>
          <w:b/>
          <w:sz w:val="19"/>
        </w:rPr>
        <w:t xml:space="preserve">Análisis de conveniencia para SAAAB: </w:t>
      </w:r>
      <w:r>
        <w:rPr>
          <w:sz w:val="19"/>
        </w:rPr>
        <w:t>ACEPTABLE SOLO ACOTADO. No implica erogación, pero el alcance es excesivo y puede chocar con información reservada. Limitar estrictamente a información de carácter laboral, excluyendo documentos amparados por reserva legal o comercial.</w:t>
      </w:r>
    </w:p>
    <w:p>
      <w:r>
        <w:rPr>
          <w:b/>
          <w:color w:val="1F3A5F"/>
          <w:sz w:val="22"/>
        </w:rPr>
        <w:t xml:space="preserve">Art. 13 — Permisos Sindicales (30 días/año + delegados)    </w:t>
      </w:r>
      <w:r>
        <w:rPr>
          <w:b/>
          <w:color w:val="C0392B"/>
          <w:sz w:val="20"/>
        </w:rPr>
        <w:t>RECHAZAR</w:t>
      </w:r>
    </w:p>
    <w:p>
      <w:r>
        <w:rPr>
          <w:b/>
          <w:i/>
          <w:sz w:val="19"/>
        </w:rPr>
        <w:t xml:space="preserve">¿Qué pide el sindicato? </w:t>
      </w:r>
      <w:r>
        <w:rPr>
          <w:sz w:val="19"/>
        </w:rPr>
        <w:t>30 días anuales de permiso remunerado para eventos, más permisos remunerados para delegados a asambleas nacionales.</w:t>
      </w:r>
    </w:p>
    <w:p>
      <w:r>
        <w:rPr>
          <w:b/>
          <w:sz w:val="19"/>
        </w:rPr>
        <w:t xml:space="preserve">Análisis de conveniencia para SAAAB: </w:t>
      </w:r>
      <w:r>
        <w:rPr>
          <w:sz w:val="19"/>
        </w:rPr>
        <w:t>RECHAZAR. Los permisos remunerados son erogación directa más afectación operativa. Ofrecer únicamente permisos no remunerados y acotados.</w:t>
      </w:r>
    </w:p>
    <w:p>
      <w:r>
        <w:rPr>
          <w:b/>
          <w:color w:val="1F3A5F"/>
          <w:sz w:val="22"/>
        </w:rPr>
        <w:t xml:space="preserve">Art. 14 — Auxilio Sindical (2 SMMLV/año)    </w:t>
      </w:r>
      <w:r>
        <w:rPr>
          <w:b/>
          <w:color w:val="C0392B"/>
          <w:sz w:val="20"/>
        </w:rPr>
        <w:t>RECHAZAR</w:t>
      </w:r>
    </w:p>
    <w:p>
      <w:r>
        <w:rPr>
          <w:b/>
          <w:i/>
          <w:sz w:val="19"/>
        </w:rPr>
        <w:t xml:space="preserve">¿Qué pide el sindicato? </w:t>
      </w:r>
      <w:r>
        <w:rPr>
          <w:sz w:val="19"/>
        </w:rPr>
        <w:t>Auxilio anual de 2 SMMLV para el funcionamiento del sindicato.</w:t>
      </w:r>
    </w:p>
    <w:p>
      <w:r>
        <w:rPr>
          <w:b/>
          <w:sz w:val="19"/>
        </w:rPr>
        <w:t xml:space="preserve">Análisis de conveniencia para SAAAB: </w:t>
      </w:r>
      <w:r>
        <w:rPr>
          <w:sz w:val="19"/>
        </w:rPr>
        <w:t>RECHAZAR. Es una erogación económica directa, recurrente y sin contraprestación para la Empresa.</w:t>
      </w:r>
    </w:p>
    <w:p>
      <w:r>
        <w:rPr>
          <w:b/>
          <w:color w:val="1F3A5F"/>
          <w:sz w:val="22"/>
        </w:rPr>
        <w:t xml:space="preserve">Art. 15 — Viáticos Sindicales (5 SMMLV/año)    </w:t>
      </w:r>
      <w:r>
        <w:rPr>
          <w:b/>
          <w:color w:val="C0392B"/>
          <w:sz w:val="20"/>
        </w:rPr>
        <w:t>RECHAZAR</w:t>
      </w:r>
    </w:p>
    <w:p>
      <w:r>
        <w:rPr>
          <w:b/>
          <w:i/>
          <w:sz w:val="19"/>
        </w:rPr>
        <w:t xml:space="preserve">¿Qué pide el sindicato? </w:t>
      </w:r>
      <w:r>
        <w:rPr>
          <w:sz w:val="19"/>
        </w:rPr>
        <w:t>Pago anual de 5 SMMLV para viáticos y tiquetes aéreos o terrestres.</w:t>
      </w:r>
    </w:p>
    <w:p>
      <w:r>
        <w:rPr>
          <w:b/>
          <w:sz w:val="19"/>
        </w:rPr>
        <w:t xml:space="preserve">Análisis de conveniencia para SAAAB: </w:t>
      </w:r>
      <w:r>
        <w:rPr>
          <w:sz w:val="19"/>
        </w:rPr>
        <w:t>RECHAZAR. Erogación directa y recurrente, adicional al Art. 14. Sin beneficio para la operación.</w:t>
      </w:r>
    </w:p>
    <w:p>
      <w:r>
        <w:rPr>
          <w:b/>
          <w:color w:val="1F3A5F"/>
          <w:sz w:val="28"/>
        </w:rPr>
        <w:t>7. CAPÍTULO V — GARANTÍAS LABORALES</w:t>
      </w:r>
    </w:p>
    <w:p>
      <w:r>
        <w:rPr>
          <w:b/>
          <w:color w:val="1F3A5F"/>
          <w:sz w:val="22"/>
        </w:rPr>
        <w:t xml:space="preserve">Art. 16 — Dotación de Vestuario y Calzado (3 dotaciones/año)    </w:t>
      </w:r>
      <w:r>
        <w:rPr>
          <w:b/>
          <w:color w:val="B87A00"/>
          <w:sz w:val="20"/>
        </w:rPr>
        <w:t>ACEPTAR SOLO LO LEGAL</w:t>
      </w:r>
    </w:p>
    <w:p>
      <w:r>
        <w:rPr>
          <w:b/>
          <w:i/>
          <w:sz w:val="19"/>
        </w:rPr>
        <w:t xml:space="preserve">¿Qué pide el sindicato? </w:t>
      </w:r>
      <w:r>
        <w:rPr>
          <w:sz w:val="19"/>
        </w:rPr>
        <w:t>Tres dotaciones anuales de vestido y calzado para los trabajadores.</w:t>
      </w:r>
    </w:p>
    <w:p>
      <w:r>
        <w:rPr>
          <w:b/>
          <w:sz w:val="19"/>
        </w:rPr>
        <w:t xml:space="preserve">Análisis de conveniencia para SAAAB: </w:t>
      </w:r>
      <w:r>
        <w:rPr>
          <w:sz w:val="19"/>
        </w:rPr>
        <w:t>ACEPTAR SOLO EN LÍMITE LEGAL. El Art. 230 CST ya obliga a 3 dotaciones/año para quienes ganan hasta 2 SMMLV; en esa medida no agrega costo. Rechazar cualquier extensión a trabajadores por encima del umbral legal.</w:t>
      </w:r>
    </w:p>
    <w:p>
      <w:r>
        <w:rPr>
          <w:b/>
          <w:color w:val="1F3A5F"/>
          <w:sz w:val="22"/>
        </w:rPr>
        <w:t xml:space="preserve">Art. 17 — Reemplazos Temporales (salario del cargo superior ≥10 días)    </w:t>
      </w:r>
      <w:r>
        <w:rPr>
          <w:b/>
          <w:color w:val="1E8A4C"/>
          <w:sz w:val="20"/>
        </w:rPr>
        <w:t>ACEPTAR</w:t>
      </w:r>
    </w:p>
    <w:p>
      <w:r>
        <w:rPr>
          <w:b/>
          <w:i/>
          <w:sz w:val="19"/>
        </w:rPr>
        <w:t xml:space="preserve">¿Qué pide el sindicato? </w:t>
      </w:r>
      <w:r>
        <w:rPr>
          <w:sz w:val="19"/>
        </w:rPr>
        <w:t>Pagar el salario del cargo reemplazado cuando el reemplazo dure 10 días hábiles o más.</w:t>
      </w:r>
    </w:p>
    <w:p>
      <w:r>
        <w:rPr>
          <w:b/>
          <w:sz w:val="19"/>
        </w:rPr>
        <w:t xml:space="preserve">Análisis de conveniencia para SAAAB: </w:t>
      </w:r>
      <w:r>
        <w:rPr>
          <w:sz w:val="19"/>
        </w:rPr>
        <w:t>ACEPTABLE. Mitiga el riesgo legal por "trabajo igual, salario igual"; el costo es variable, ocasional y controlable mediante buena planeación, y el umbral de 10 días limita la exposición.</w:t>
      </w:r>
    </w:p>
    <w:p>
      <w:r>
        <w:rPr>
          <w:b/>
          <w:color w:val="1F3A5F"/>
          <w:sz w:val="22"/>
        </w:rPr>
        <w:t xml:space="preserve">Art. 18 — Vacantes (preferencia interna)    </w:t>
      </w:r>
      <w:r>
        <w:rPr>
          <w:b/>
          <w:color w:val="1E8A4C"/>
          <w:sz w:val="20"/>
        </w:rPr>
        <w:t>ACEPTAR</w:t>
      </w:r>
    </w:p>
    <w:p>
      <w:r>
        <w:rPr>
          <w:b/>
          <w:i/>
          <w:sz w:val="19"/>
        </w:rPr>
        <w:t xml:space="preserve">¿Qué pide el sindicato? </w:t>
      </w:r>
      <w:r>
        <w:rPr>
          <w:sz w:val="19"/>
        </w:rPr>
        <w:t>Priorizar las hojas de vida internas para vacantes, siempre que cumplan el perfil.</w:t>
      </w:r>
    </w:p>
    <w:p>
      <w:r>
        <w:rPr>
          <w:b/>
          <w:sz w:val="19"/>
        </w:rPr>
        <w:t xml:space="preserve">Análisis de conveniencia para SAAAB: </w:t>
      </w:r>
      <w:r>
        <w:rPr>
          <w:sz w:val="19"/>
        </w:rPr>
        <w:t>CONVENIENTE. No genera costo, promueve el desarrollo interno y la retención. Aceptable.</w:t>
      </w:r>
    </w:p>
    <w:p>
      <w:r>
        <w:rPr>
          <w:b/>
          <w:color w:val="1F3A5F"/>
          <w:sz w:val="28"/>
        </w:rPr>
        <w:t>8. CAPÍTULO VI — BIENESTAR SOCIAL</w:t>
      </w:r>
    </w:p>
    <w:p>
      <w:r>
        <w:rPr>
          <w:b/>
          <w:color w:val="1F3A5F"/>
          <w:sz w:val="22"/>
        </w:rPr>
        <w:t xml:space="preserve">Art. 19 — Auxilio Educativo (trabajador e hijos, 1–1.5 SMMLV)    </w:t>
      </w:r>
      <w:r>
        <w:rPr>
          <w:b/>
          <w:color w:val="C0392B"/>
          <w:sz w:val="20"/>
        </w:rPr>
        <w:t>RECHAZAR</w:t>
      </w:r>
    </w:p>
    <w:p>
      <w:r>
        <w:rPr>
          <w:b/>
          <w:i/>
          <w:sz w:val="19"/>
        </w:rPr>
        <w:t xml:space="preserve">¿Qué pide el sindicato? </w:t>
      </w:r>
      <w:r>
        <w:rPr>
          <w:sz w:val="19"/>
        </w:rPr>
        <w:t>Auxilio educativo anual de 1 SMMLV (técnicas/tecnológicas) y 1.5 SMMLV (universitarias) para trabajadores e hijos.</w:t>
      </w:r>
    </w:p>
    <w:p>
      <w:r>
        <w:rPr>
          <w:b/>
          <w:sz w:val="19"/>
        </w:rPr>
        <w:t xml:space="preserve">Análisis de conveniencia para SAAAB: </w:t>
      </w:r>
      <w:r>
        <w:rPr>
          <w:sz w:val="19"/>
        </w:rPr>
        <w:t>RECHAZAR. Erogación recurrente que escala con el número de beneficiarios (incluye hijos), sin tope definido.</w:t>
      </w:r>
    </w:p>
    <w:p>
      <w:r>
        <w:rPr>
          <w:b/>
          <w:color w:val="1F3A5F"/>
          <w:sz w:val="22"/>
        </w:rPr>
        <w:t xml:space="preserve">Art. 20 — Auxilio Funerario (seguro grupo familiar)    </w:t>
      </w:r>
      <w:r>
        <w:rPr>
          <w:b/>
          <w:color w:val="C0392B"/>
          <w:sz w:val="20"/>
        </w:rPr>
        <w:t>RECHAZAR</w:t>
      </w:r>
    </w:p>
    <w:p>
      <w:r>
        <w:rPr>
          <w:b/>
          <w:i/>
          <w:sz w:val="19"/>
        </w:rPr>
        <w:t xml:space="preserve">¿Qué pide el sindicato? </w:t>
      </w:r>
      <w:r>
        <w:rPr>
          <w:sz w:val="19"/>
        </w:rPr>
        <w:t>Seguro funerario para el trabajador y su grupo familiar.</w:t>
      </w:r>
    </w:p>
    <w:p>
      <w:r>
        <w:rPr>
          <w:b/>
          <w:sz w:val="19"/>
        </w:rPr>
        <w:t xml:space="preserve">Análisis de conveniencia para SAAAB: </w:t>
      </w:r>
      <w:r>
        <w:rPr>
          <w:sz w:val="19"/>
        </w:rPr>
        <w:t>RECHAZAR. Implica el pago de primas de seguro (erogación). Además se duplica con el Art. 42 (póliza exequial).</w:t>
      </w:r>
    </w:p>
    <w:p>
      <w:r>
        <w:rPr>
          <w:b/>
          <w:color w:val="1F3A5F"/>
          <w:sz w:val="22"/>
        </w:rPr>
        <w:t xml:space="preserve">Art. 21 — Permiso por Calamidad Doméstica (5–8 días remunerados)    </w:t>
      </w:r>
      <w:r>
        <w:rPr>
          <w:b/>
          <w:color w:val="C0392B"/>
          <w:sz w:val="20"/>
        </w:rPr>
        <w:t>RECHAZAR (extensión)</w:t>
      </w:r>
    </w:p>
    <w:p>
      <w:r>
        <w:rPr>
          <w:b/>
          <w:i/>
          <w:sz w:val="19"/>
        </w:rPr>
        <w:t xml:space="preserve">¿Qué pide el sindicato? </w:t>
      </w:r>
      <w:r>
        <w:rPr>
          <w:sz w:val="19"/>
        </w:rPr>
        <w:t>Permiso remunerado de 5 a 8 días hábiles por calamidad, hasta el segundo grado de consanguinidad.</w:t>
      </w:r>
    </w:p>
    <w:p>
      <w:r>
        <w:rPr>
          <w:b/>
          <w:sz w:val="19"/>
        </w:rPr>
        <w:t xml:space="preserve">Análisis de conveniencia para SAAAB: </w:t>
      </w:r>
      <w:r>
        <w:rPr>
          <w:sz w:val="19"/>
        </w:rPr>
        <w:t>RECHAZAR la extensión. Excede el régimen legal y los días remunerados constituyen erogación. Limitarse a lo estrictamente previsto en la ley.</w:t>
      </w:r>
    </w:p>
    <w:p>
      <w:r>
        <w:rPr>
          <w:b/>
          <w:color w:val="1F3A5F"/>
          <w:sz w:val="28"/>
        </w:rPr>
        <w:t>9. CAPÍTULO VII — COMPENSACIONES Y SALARIOS (núcleo de costo)</w:t>
      </w:r>
    </w:p>
    <w:p>
      <w:r>
        <w:rPr>
          <w:b/>
          <w:color w:val="1F3A5F"/>
          <w:sz w:val="22"/>
        </w:rPr>
        <w:t xml:space="preserve">Art. 22 — Salario Mínimo Convencional (1.5 SMMLV)    </w:t>
      </w:r>
      <w:r>
        <w:rPr>
          <w:b/>
          <w:color w:val="C0392B"/>
          <w:sz w:val="20"/>
        </w:rPr>
        <w:t>RECHAZAR</w:t>
      </w:r>
    </w:p>
    <w:p>
      <w:r>
        <w:rPr>
          <w:b/>
          <w:i/>
          <w:sz w:val="19"/>
        </w:rPr>
        <w:t xml:space="preserve">¿Qué pide el sindicato? </w:t>
      </w:r>
      <w:r>
        <w:rPr>
          <w:sz w:val="19"/>
        </w:rPr>
        <w:t>Piso salarial equivalente a 1.5 SMMLV para el nivel más bajo.</w:t>
      </w:r>
    </w:p>
    <w:p>
      <w:r>
        <w:rPr>
          <w:b/>
          <w:sz w:val="19"/>
        </w:rPr>
        <w:t xml:space="preserve">Análisis de conveniencia para SAAAB: </w:t>
      </w:r>
      <w:r>
        <w:rPr>
          <w:sz w:val="19"/>
        </w:rPr>
        <w:t>RECHAZAR. Eleva en 50% la base salarial inferior y, en cascada, prestaciones, primas y aportes. Es una de las erogaciones estructurales más altas del pliego.</w:t>
      </w:r>
    </w:p>
    <w:p>
      <w:r>
        <w:rPr>
          <w:b/>
          <w:color w:val="1F3A5F"/>
          <w:sz w:val="22"/>
        </w:rPr>
        <w:t xml:space="preserve">Art. 23 — Incremento Salarial (mayor de IPC o %SMMLV, + 3 puntos)    </w:t>
      </w:r>
      <w:r>
        <w:rPr>
          <w:b/>
          <w:color w:val="C0392B"/>
          <w:sz w:val="20"/>
        </w:rPr>
        <w:t>RECHAZAR</w:t>
      </w:r>
    </w:p>
    <w:p>
      <w:r>
        <w:rPr>
          <w:b/>
          <w:i/>
          <w:sz w:val="19"/>
        </w:rPr>
        <w:t xml:space="preserve">¿Qué pide el sindicato? </w:t>
      </w:r>
      <w:r>
        <w:rPr>
          <w:sz w:val="19"/>
        </w:rPr>
        <w:t>Incremento anual igual al mayor entre IPC y el aumento del SMMLV, más 3 puntos.</w:t>
      </w:r>
    </w:p>
    <w:p>
      <w:r>
        <w:rPr>
          <w:b/>
          <w:sz w:val="19"/>
        </w:rPr>
        <w:t xml:space="preserve">Análisis de conveniencia para SAAAB: </w:t>
      </w:r>
      <w:r>
        <w:rPr>
          <w:sz w:val="19"/>
        </w:rPr>
        <w:t>RECHAZAR. Los +3 puntos sobre la inflación garantizan un crecimiento real perpetuo de la nómina con efecto compuesto; es la cláusula económica de mayor impacto acumulado.</w:t>
      </w:r>
    </w:p>
    <w:p>
      <w:r>
        <w:rPr>
          <w:b/>
          <w:color w:val="1F3A5F"/>
          <w:sz w:val="22"/>
        </w:rPr>
        <w:t xml:space="preserve">Art. 24 — Prima de Servicios Junio (25 días)    </w:t>
      </w:r>
      <w:r>
        <w:rPr>
          <w:b/>
          <w:color w:val="C0392B"/>
          <w:sz w:val="20"/>
        </w:rPr>
        <w:t>RECHAZAR</w:t>
      </w:r>
    </w:p>
    <w:p>
      <w:r>
        <w:rPr>
          <w:b/>
          <w:sz w:val="19"/>
        </w:rPr>
        <w:t xml:space="preserve">Análisis de conveniencia para SAAAB: </w:t>
      </w:r>
      <w:r>
        <w:rPr>
          <w:sz w:val="19"/>
        </w:rPr>
        <w:t>RECHAZAR. Supera la prima legal (15 días en junio) y, sumada al Art. 27, llevaría la prima legal a 50 días/año. Erogación recurrente.</w:t>
      </w:r>
    </w:p>
    <w:p>
      <w:r>
        <w:rPr>
          <w:b/>
          <w:color w:val="1F3A5F"/>
          <w:sz w:val="22"/>
        </w:rPr>
        <w:t xml:space="preserve">Art. 25 — Prima de Vacaciones (21 días)    </w:t>
      </w:r>
      <w:r>
        <w:rPr>
          <w:b/>
          <w:color w:val="C0392B"/>
          <w:sz w:val="20"/>
        </w:rPr>
        <w:t>RECHAZAR</w:t>
      </w:r>
    </w:p>
    <w:p>
      <w:r>
        <w:rPr>
          <w:b/>
          <w:sz w:val="19"/>
        </w:rPr>
        <w:t xml:space="preserve">Análisis de conveniencia para SAAAB: </w:t>
      </w:r>
      <w:r>
        <w:rPr>
          <w:sz w:val="19"/>
        </w:rPr>
        <w:t>RECHAZAR. Beneficio extralegal sin sustento legal; erogación recurrente por trabajador.</w:t>
      </w:r>
    </w:p>
    <w:p>
      <w:r>
        <w:rPr>
          <w:b/>
          <w:color w:val="1F3A5F"/>
          <w:sz w:val="22"/>
        </w:rPr>
        <w:t xml:space="preserve">Art. 26 — Prima Extralegal Junio (16 días)    </w:t>
      </w:r>
      <w:r>
        <w:rPr>
          <w:b/>
          <w:color w:val="C0392B"/>
          <w:sz w:val="20"/>
        </w:rPr>
        <w:t>RECHAZAR</w:t>
      </w:r>
    </w:p>
    <w:p>
      <w:r>
        <w:rPr>
          <w:b/>
          <w:sz w:val="19"/>
        </w:rPr>
        <w:t xml:space="preserve">Análisis de conveniencia para SAAAB: </w:t>
      </w:r>
      <w:r>
        <w:rPr>
          <w:sz w:val="19"/>
        </w:rPr>
        <w:t>RECHAZAR. Prima extralegal acumulativa sobre la prima de servicios.</w:t>
      </w:r>
    </w:p>
    <w:p>
      <w:r>
        <w:rPr>
          <w:b/>
          <w:color w:val="1F3A5F"/>
          <w:sz w:val="22"/>
        </w:rPr>
        <w:t xml:space="preserve">Art. 27 — Prima Diciembre (25 días)    </w:t>
      </w:r>
      <w:r>
        <w:rPr>
          <w:b/>
          <w:color w:val="C0392B"/>
          <w:sz w:val="20"/>
        </w:rPr>
        <w:t>RECHAZAR</w:t>
      </w:r>
    </w:p>
    <w:p>
      <w:r>
        <w:rPr>
          <w:b/>
          <w:sz w:val="19"/>
        </w:rPr>
        <w:t xml:space="preserve">Análisis de conveniencia para SAAAB: </w:t>
      </w:r>
      <w:r>
        <w:rPr>
          <w:sz w:val="19"/>
        </w:rPr>
        <w:t>RECHAZAR. Supera la prima legal de diciembre (15 días). Erogación.</w:t>
      </w:r>
    </w:p>
    <w:p>
      <w:r>
        <w:rPr>
          <w:b/>
          <w:color w:val="1F3A5F"/>
          <w:sz w:val="22"/>
        </w:rPr>
        <w:t xml:space="preserve">Art. 28 — Prima Extralegal Diciembre (16 días)    </w:t>
      </w:r>
      <w:r>
        <w:rPr>
          <w:b/>
          <w:color w:val="C0392B"/>
          <w:sz w:val="20"/>
        </w:rPr>
        <w:t>RECHAZAR</w:t>
      </w:r>
    </w:p>
    <w:p>
      <w:r>
        <w:rPr>
          <w:b/>
          <w:sz w:val="19"/>
        </w:rPr>
        <w:t xml:space="preserve">Análisis de conveniencia para SAAAB: </w:t>
      </w:r>
      <w:r>
        <w:rPr>
          <w:sz w:val="19"/>
        </w:rPr>
        <w:t>RECHAZAR. Segunda prima extralegal del segundo semestre; erogación acumulativa.</w:t>
      </w:r>
    </w:p>
    <w:p>
      <w:r>
        <w:rPr>
          <w:b/>
          <w:color w:val="1F3A5F"/>
          <w:sz w:val="22"/>
        </w:rPr>
        <w:t xml:space="preserve">Art. 29 — Prima de Antigüedad (0.5–1 SMMLV por quinquenios)    </w:t>
      </w:r>
      <w:r>
        <w:rPr>
          <w:b/>
          <w:color w:val="C0392B"/>
          <w:sz w:val="20"/>
        </w:rPr>
        <w:t>RECHAZAR</w:t>
      </w:r>
    </w:p>
    <w:p>
      <w:r>
        <w:rPr>
          <w:b/>
          <w:sz w:val="19"/>
        </w:rPr>
        <w:t xml:space="preserve">Análisis de conveniencia para SAAAB: </w:t>
      </w:r>
      <w:r>
        <w:rPr>
          <w:sz w:val="19"/>
        </w:rPr>
        <w:t>RECHAZAR. Erogación creciente atada a la antigüedad de la planta.</w:t>
      </w:r>
    </w:p>
    <w:p>
      <w:r>
        <w:rPr>
          <w:b/>
          <w:color w:val="1F3A5F"/>
          <w:sz w:val="22"/>
        </w:rPr>
        <w:t xml:space="preserve">Art. 30 — Bono Pensional (50% SMMLV al retiro)    </w:t>
      </w:r>
      <w:r>
        <w:rPr>
          <w:b/>
          <w:color w:val="C0392B"/>
          <w:sz w:val="20"/>
        </w:rPr>
        <w:t>RECHAZAR</w:t>
      </w:r>
    </w:p>
    <w:p>
      <w:r>
        <w:rPr>
          <w:b/>
          <w:sz w:val="19"/>
        </w:rPr>
        <w:t xml:space="preserve">Análisis de conveniencia para SAAAB: </w:t>
      </w:r>
      <w:r>
        <w:rPr>
          <w:sz w:val="19"/>
        </w:rPr>
        <w:t>RECHAZAR. Pago extralegal por trabajador al momento de la pensión; erogación.</w:t>
      </w:r>
    </w:p>
    <w:p>
      <w:r>
        <w:rPr>
          <w:b/>
          <w:color w:val="1F3A5F"/>
          <w:sz w:val="22"/>
        </w:rPr>
        <w:t xml:space="preserve">Art. 31 — Intereses a las Cesantías (12%)    </w:t>
      </w:r>
      <w:r>
        <w:rPr>
          <w:b/>
          <w:color w:val="1E8A4C"/>
          <w:sz w:val="20"/>
        </w:rPr>
        <w:t>ACEPTAR (legal)</w:t>
      </w:r>
    </w:p>
    <w:p>
      <w:r>
        <w:rPr>
          <w:b/>
          <w:sz w:val="19"/>
        </w:rPr>
        <w:t xml:space="preserve">Análisis de conveniencia para SAAAB: </w:t>
      </w:r>
      <w:r>
        <w:rPr>
          <w:sz w:val="19"/>
        </w:rPr>
        <w:t>ACEPTABLE. Es una obligación legal preexistente (Ley 52/1975); no añade costo nuevo. Aceptable por ser declarativo.</w:t>
      </w:r>
    </w:p>
    <w:p>
      <w:r>
        <w:rPr>
          <w:b/>
          <w:color w:val="1F3A5F"/>
          <w:sz w:val="22"/>
        </w:rPr>
        <w:t xml:space="preserve">Art. 32 — Auxilio de Rodamiento (0.5 SMMLV)    </w:t>
      </w:r>
      <w:r>
        <w:rPr>
          <w:b/>
          <w:color w:val="C0392B"/>
          <w:sz w:val="20"/>
        </w:rPr>
        <w:t>RECHAZAR</w:t>
      </w:r>
    </w:p>
    <w:p>
      <w:r>
        <w:rPr>
          <w:b/>
          <w:sz w:val="19"/>
        </w:rPr>
        <w:t xml:space="preserve">Análisis de conveniencia para SAAAB: </w:t>
      </w:r>
      <w:r>
        <w:rPr>
          <w:sz w:val="19"/>
        </w:rPr>
        <w:t>RECHAZAR. Aun siendo condicional y revocable, constituye erogación mensual.</w:t>
      </w:r>
    </w:p>
    <w:p>
      <w:r>
        <w:rPr>
          <w:b/>
          <w:color w:val="1F3A5F"/>
          <w:sz w:val="22"/>
        </w:rPr>
        <w:t xml:space="preserve">Art. 33 — Prima por Riesgos Biológicos y Malos Olores (5 SMDLV/mes)    </w:t>
      </w:r>
      <w:r>
        <w:rPr>
          <w:b/>
          <w:color w:val="C0392B"/>
          <w:sz w:val="20"/>
        </w:rPr>
        <w:t>RECHAZAR</w:t>
      </w:r>
    </w:p>
    <w:p>
      <w:r>
        <w:rPr>
          <w:b/>
          <w:sz w:val="19"/>
        </w:rPr>
        <w:t xml:space="preserve">Análisis de conveniencia para SAAAB: </w:t>
      </w:r>
      <w:r>
        <w:rPr>
          <w:sz w:val="19"/>
        </w:rPr>
        <w:t>RECHAZAR. Erogación mensual recurrente; además se duplica con el Art. 49 (mismo riesgo).</w:t>
      </w:r>
    </w:p>
    <w:p>
      <w:r>
        <w:rPr>
          <w:b/>
          <w:color w:val="1F3A5F"/>
          <w:sz w:val="22"/>
        </w:rPr>
        <w:t xml:space="preserve">Art. 34 — Auxilio de Transporte (hasta 2 SMMLV)    </w:t>
      </w:r>
      <w:r>
        <w:rPr>
          <w:b/>
          <w:color w:val="C0392B"/>
          <w:sz w:val="20"/>
        </w:rPr>
        <w:t>RECHAZAR (extensión)</w:t>
      </w:r>
    </w:p>
    <w:p>
      <w:r>
        <w:rPr>
          <w:b/>
          <w:sz w:val="19"/>
        </w:rPr>
        <w:t xml:space="preserve">Análisis de conveniencia para SAAAB: </w:t>
      </w:r>
      <w:r>
        <w:rPr>
          <w:sz w:val="19"/>
        </w:rPr>
        <w:t>RECHAZAR la extensión. Amplía el umbral legal (1 SMMLV → 2 SMMLV), generando mayor erogación. Mantener únicamente el auxilio de transporte legal.</w:t>
      </w:r>
    </w:p>
    <w:p>
      <w:r>
        <w:rPr>
          <w:b/>
          <w:color w:val="1F3A5F"/>
          <w:sz w:val="22"/>
        </w:rPr>
        <w:t xml:space="preserve">Art. 35 — Pagos por Incapacidad al 100% sin límite    </w:t>
      </w:r>
      <w:r>
        <w:rPr>
          <w:b/>
          <w:color w:val="C0392B"/>
          <w:sz w:val="20"/>
        </w:rPr>
        <w:t>RECHAZAR</w:t>
      </w:r>
    </w:p>
    <w:p>
      <w:r>
        <w:rPr>
          <w:b/>
          <w:sz w:val="19"/>
        </w:rPr>
        <w:t xml:space="preserve">Análisis de conveniencia para SAAAB: </w:t>
      </w:r>
      <w:r>
        <w:rPr>
          <w:sz w:val="19"/>
        </w:rPr>
        <w:t>RECHAZAR. Obliga a asumir el diferencial frente a la EPS/ARL de forma ilimitada (la EPS cubre 66.67% desde el día 4). Erogación abierta e imprevisible.</w:t>
      </w:r>
    </w:p>
    <w:p>
      <w:r>
        <w:rPr>
          <w:b/>
          <w:color w:val="1F3A5F"/>
          <w:sz w:val="28"/>
        </w:rPr>
        <w:t>10. CAPÍTULO VIII — SALUD, AUXILIOS Y SEGURIDAD</w:t>
      </w:r>
    </w:p>
    <w:p>
      <w:r>
        <w:rPr>
          <w:b/>
          <w:color w:val="1F3A5F"/>
          <w:sz w:val="22"/>
        </w:rPr>
        <w:t xml:space="preserve">Art. 36 — Cumplimiento de Normas Laborales    </w:t>
      </w:r>
      <w:r>
        <w:rPr>
          <w:b/>
          <w:color w:val="1E8A4C"/>
          <w:sz w:val="20"/>
        </w:rPr>
        <w:t>ACEPTAR (legal)</w:t>
      </w:r>
    </w:p>
    <w:p>
      <w:r>
        <w:rPr>
          <w:b/>
          <w:sz w:val="19"/>
        </w:rPr>
        <w:t xml:space="preserve">Análisis de conveniencia para SAAAB: </w:t>
      </w:r>
      <w:r>
        <w:rPr>
          <w:sz w:val="19"/>
        </w:rPr>
        <w:t>ACEPTABLE. Reitera obligaciones legales ya vigentes; no añade costo nuevo. Declarativo.</w:t>
      </w:r>
    </w:p>
    <w:p>
      <w:r>
        <w:rPr>
          <w:b/>
          <w:color w:val="1F3A5F"/>
          <w:sz w:val="22"/>
        </w:rPr>
        <w:t xml:space="preserve">Art. 37 — Auxilio para Anteojos (25% SMMLV c/2 años)    </w:t>
      </w:r>
      <w:r>
        <w:rPr>
          <w:b/>
          <w:color w:val="C0392B"/>
          <w:sz w:val="20"/>
        </w:rPr>
        <w:t>RECHAZAR</w:t>
      </w:r>
    </w:p>
    <w:p>
      <w:r>
        <w:rPr>
          <w:b/>
          <w:sz w:val="19"/>
        </w:rPr>
        <w:t xml:space="preserve">Análisis de conveniencia para SAAAB: </w:t>
      </w:r>
      <w:r>
        <w:rPr>
          <w:sz w:val="19"/>
        </w:rPr>
        <w:t>RECHAZAR. Erogación periódica; además se duplica con el Art. 48 (corrección visual).</w:t>
      </w:r>
    </w:p>
    <w:p>
      <w:r>
        <w:rPr>
          <w:b/>
          <w:color w:val="1F3A5F"/>
          <w:sz w:val="22"/>
        </w:rPr>
        <w:t xml:space="preserve">Art. 38 — Auxilio por Maternidad (60% SMMLV)    </w:t>
      </w:r>
      <w:r>
        <w:rPr>
          <w:b/>
          <w:color w:val="C0392B"/>
          <w:sz w:val="20"/>
        </w:rPr>
        <w:t>RECHAZAR</w:t>
      </w:r>
    </w:p>
    <w:p>
      <w:r>
        <w:rPr>
          <w:b/>
          <w:sz w:val="19"/>
        </w:rPr>
        <w:t xml:space="preserve">Análisis de conveniencia para SAAAB: </w:t>
      </w:r>
      <w:r>
        <w:rPr>
          <w:sz w:val="19"/>
        </w:rPr>
        <w:t>RECHAZAR. Auxilio extralegal por evento; erogación.</w:t>
      </w:r>
    </w:p>
    <w:p>
      <w:r>
        <w:rPr>
          <w:b/>
          <w:color w:val="1F3A5F"/>
          <w:sz w:val="22"/>
        </w:rPr>
        <w:t xml:space="preserve">Art. 39 — Auxilio por Muerte de Familiar (60% SMMLV)    </w:t>
      </w:r>
      <w:r>
        <w:rPr>
          <w:b/>
          <w:color w:val="C0392B"/>
          <w:sz w:val="20"/>
        </w:rPr>
        <w:t>RECHAZAR</w:t>
      </w:r>
    </w:p>
    <w:p>
      <w:r>
        <w:rPr>
          <w:b/>
          <w:sz w:val="19"/>
        </w:rPr>
        <w:t xml:space="preserve">Análisis de conveniencia para SAAAB: </w:t>
      </w:r>
      <w:r>
        <w:rPr>
          <w:sz w:val="19"/>
        </w:rPr>
        <w:t>RECHAZAR. Auxilio extralegal por evento; erogación.</w:t>
      </w:r>
    </w:p>
    <w:p>
      <w:r>
        <w:rPr>
          <w:b/>
          <w:color w:val="1F3A5F"/>
          <w:sz w:val="22"/>
        </w:rPr>
        <w:t xml:space="preserve">Art. 40 — Fondo Rotatorio para Medicamentos (6 SMMLV)    </w:t>
      </w:r>
      <w:r>
        <w:rPr>
          <w:b/>
          <w:color w:val="C0392B"/>
          <w:sz w:val="20"/>
        </w:rPr>
        <w:t>RECHAZAR</w:t>
      </w:r>
    </w:p>
    <w:p>
      <w:r>
        <w:rPr>
          <w:b/>
          <w:sz w:val="19"/>
        </w:rPr>
        <w:t xml:space="preserve">Análisis de conveniencia para SAAAB: </w:t>
      </w:r>
      <w:r>
        <w:rPr>
          <w:sz w:val="19"/>
        </w:rPr>
        <w:t>RECHAZAR. Aunque es "rotatorio", inmoviliza capital (6 SMMLV) y expone a la Empresa al riesgo de cartera/morosidad. Compromete recursos.</w:t>
      </w:r>
    </w:p>
    <w:p>
      <w:r>
        <w:rPr>
          <w:b/>
          <w:color w:val="1F3A5F"/>
          <w:sz w:val="22"/>
        </w:rPr>
        <w:t xml:space="preserve">Art. 41 — Gastos de Traslado por Tratamiento Médico    </w:t>
      </w:r>
      <w:r>
        <w:rPr>
          <w:b/>
          <w:color w:val="C0392B"/>
          <w:sz w:val="20"/>
        </w:rPr>
        <w:t>RECHAZAR</w:t>
      </w:r>
    </w:p>
    <w:p>
      <w:r>
        <w:rPr>
          <w:b/>
          <w:sz w:val="19"/>
        </w:rPr>
        <w:t xml:space="preserve">Análisis de conveniencia para SAAAB: </w:t>
      </w:r>
      <w:r>
        <w:rPr>
          <w:sz w:val="19"/>
        </w:rPr>
        <w:t>RECHAZAR. Erogación variable; además, el transporte por tratamiento corresponde en gran medida a la EPS, no a la Empresa.</w:t>
      </w:r>
    </w:p>
    <w:p>
      <w:r>
        <w:rPr>
          <w:b/>
          <w:color w:val="1F3A5F"/>
          <w:sz w:val="22"/>
        </w:rPr>
        <w:t xml:space="preserve">Art. 42 — Póliza de Servicios Exequiales    </w:t>
      </w:r>
      <w:r>
        <w:rPr>
          <w:b/>
          <w:color w:val="C0392B"/>
          <w:sz w:val="20"/>
        </w:rPr>
        <w:t>RECHAZAR</w:t>
      </w:r>
    </w:p>
    <w:p>
      <w:r>
        <w:rPr>
          <w:b/>
          <w:sz w:val="19"/>
        </w:rPr>
        <w:t xml:space="preserve">Análisis de conveniencia para SAAAB: </w:t>
      </w:r>
      <w:r>
        <w:rPr>
          <w:sz w:val="19"/>
        </w:rPr>
        <w:t>RECHAZAR. Implica pago de prima (erogación) y se duplica con el Art. 20.</w:t>
      </w:r>
    </w:p>
    <w:p>
      <w:r>
        <w:rPr>
          <w:b/>
          <w:color w:val="1F3A5F"/>
          <w:sz w:val="22"/>
        </w:rPr>
        <w:t xml:space="preserve">Art. 43 — Auxilio por Calamidad (4 SMMLV) + Permisos de Estudio    </w:t>
      </w:r>
      <w:r>
        <w:rPr>
          <w:b/>
          <w:color w:val="C0392B"/>
          <w:sz w:val="20"/>
        </w:rPr>
        <w:t>RECHAZAR</w:t>
      </w:r>
    </w:p>
    <w:p>
      <w:r>
        <w:rPr>
          <w:b/>
          <w:sz w:val="19"/>
        </w:rPr>
        <w:t xml:space="preserve">Análisis de conveniencia para SAAAB: </w:t>
      </w:r>
      <w:r>
        <w:rPr>
          <w:sz w:val="19"/>
        </w:rPr>
        <w:t>RECHAZAR. El auxilio de 4 SMMLV es erogación, y los permisos de estudio en jornada laboral comprometen capacidad operativa.</w:t>
      </w:r>
    </w:p>
    <w:p>
      <w:r>
        <w:rPr>
          <w:b/>
          <w:color w:val="1F3A5F"/>
          <w:sz w:val="22"/>
        </w:rPr>
        <w:t xml:space="preserve">Art. 44 — Implementos de Seguridad / COPASST    </w:t>
      </w:r>
      <w:r>
        <w:rPr>
          <w:b/>
          <w:color w:val="1E8A4C"/>
          <w:sz w:val="20"/>
        </w:rPr>
        <w:t>ACEPTAR (legal)</w:t>
      </w:r>
    </w:p>
    <w:p>
      <w:r>
        <w:rPr>
          <w:b/>
          <w:sz w:val="19"/>
        </w:rPr>
        <w:t xml:space="preserve">Análisis de conveniencia para SAAAB: </w:t>
      </w:r>
      <w:r>
        <w:rPr>
          <w:sz w:val="19"/>
        </w:rPr>
        <w:t>ACEPTABLE. Es una obligación legal del SG-SST (Decreto 1072/2015); no añade costo más allá de lo ya exigido. Reduce accidentalidad e incapacidades.</w:t>
      </w:r>
    </w:p>
    <w:p>
      <w:r>
        <w:rPr>
          <w:b/>
          <w:color w:val="1F3A5F"/>
          <w:sz w:val="22"/>
        </w:rPr>
        <w:t xml:space="preserve">Art. 45 — Bonificación por Productividad ($500.000, si recaudo +2%)    </w:t>
      </w:r>
      <w:r>
        <w:rPr>
          <w:b/>
          <w:color w:val="C0392B"/>
          <w:sz w:val="20"/>
        </w:rPr>
        <w:t>RECHAZAR (salvo autofinanciación)</w:t>
      </w:r>
    </w:p>
    <w:p>
      <w:r>
        <w:rPr>
          <w:b/>
          <w:sz w:val="19"/>
        </w:rPr>
        <w:t xml:space="preserve">Análisis de conveniencia para SAAAB: </w:t>
      </w:r>
      <w:r>
        <w:rPr>
          <w:sz w:val="19"/>
        </w:rPr>
        <w:t>Bajo la directriz de no asumir erogaciones, se recomienda RECHAZAR. Solo sería admisible si está estrictamente autofinanciado con el mayor recaudo incremental y sin incidencia prestacional. En caso de duda, no aceptar.</w:t>
      </w:r>
    </w:p>
    <w:p>
      <w:r>
        <w:rPr>
          <w:b/>
          <w:color w:val="1F3A5F"/>
          <w:sz w:val="22"/>
        </w:rPr>
        <w:t xml:space="preserve">Art. 46 — Auxilio para Sede Sindical (50% SMMLV/mes)    </w:t>
      </w:r>
      <w:r>
        <w:rPr>
          <w:b/>
          <w:color w:val="C0392B"/>
          <w:sz w:val="20"/>
        </w:rPr>
        <w:t>RECHAZAR</w:t>
      </w:r>
    </w:p>
    <w:p>
      <w:r>
        <w:rPr>
          <w:b/>
          <w:sz w:val="19"/>
        </w:rPr>
        <w:t xml:space="preserve">Análisis de conveniencia para SAAAB: </w:t>
      </w:r>
      <w:r>
        <w:rPr>
          <w:sz w:val="19"/>
        </w:rPr>
        <w:t>RECHAZAR. Erogación mensual recurrente, adicional a los Arts. 14 y 15.</w:t>
      </w:r>
    </w:p>
    <w:p>
      <w:r>
        <w:rPr>
          <w:b/>
          <w:color w:val="1F3A5F"/>
          <w:sz w:val="22"/>
        </w:rPr>
        <w:t xml:space="preserve">Art. 47 — Primeros Auxilios (botiquín)    </w:t>
      </w:r>
      <w:r>
        <w:rPr>
          <w:b/>
          <w:color w:val="1E8A4C"/>
          <w:sz w:val="20"/>
        </w:rPr>
        <w:t>ACEPTAR (legal)</w:t>
      </w:r>
    </w:p>
    <w:p>
      <w:r>
        <w:rPr>
          <w:b/>
          <w:sz w:val="19"/>
        </w:rPr>
        <w:t xml:space="preserve">Análisis de conveniencia para SAAAB: </w:t>
      </w:r>
      <w:r>
        <w:rPr>
          <w:sz w:val="19"/>
        </w:rPr>
        <w:t>ACEPTABLE. Obligación de SST; costo mínimo ya exigido por la ley. Aceptable.</w:t>
      </w:r>
    </w:p>
    <w:p>
      <w:r>
        <w:rPr>
          <w:b/>
          <w:color w:val="1F3A5F"/>
          <w:sz w:val="22"/>
        </w:rPr>
        <w:t xml:space="preserve">Art. 48 — Auxilio de Corrección Visual (0.5 SMMLV/año)    </w:t>
      </w:r>
      <w:r>
        <w:rPr>
          <w:b/>
          <w:color w:val="C0392B"/>
          <w:sz w:val="20"/>
        </w:rPr>
        <w:t>RECHAZAR</w:t>
      </w:r>
    </w:p>
    <w:p>
      <w:r>
        <w:rPr>
          <w:b/>
          <w:sz w:val="19"/>
        </w:rPr>
        <w:t xml:space="preserve">Análisis de conveniencia para SAAAB: </w:t>
      </w:r>
      <w:r>
        <w:rPr>
          <w:sz w:val="19"/>
        </w:rPr>
        <w:t>RECHAZAR. Erogación anual; además se duplica con el Art. 37 y es de mayor monto y frecuencia.</w:t>
      </w:r>
    </w:p>
    <w:p>
      <w:r>
        <w:rPr>
          <w:b/>
          <w:color w:val="1F3A5F"/>
          <w:sz w:val="22"/>
        </w:rPr>
        <w:t xml:space="preserve">Art. 49 — Auxilio Personal que Maneja Químicos y Desechos (5% SMMLV/mes)    </w:t>
      </w:r>
      <w:r>
        <w:rPr>
          <w:b/>
          <w:color w:val="C0392B"/>
          <w:sz w:val="20"/>
        </w:rPr>
        <w:t>RECHAZAR</w:t>
      </w:r>
    </w:p>
    <w:p>
      <w:r>
        <w:rPr>
          <w:b/>
          <w:sz w:val="19"/>
        </w:rPr>
        <w:t xml:space="preserve">Análisis de conveniencia para SAAAB: </w:t>
      </w:r>
      <w:r>
        <w:rPr>
          <w:sz w:val="19"/>
        </w:rPr>
        <w:t>RECHAZAR. Erogación mensual recurrente; se duplica con el Art. 33.</w:t>
      </w:r>
    </w:p>
    <w:p>
      <w:r>
        <w:rPr>
          <w:b/>
          <w:color w:val="1F3A5F"/>
          <w:sz w:val="28"/>
        </w:rPr>
        <w:t>11. CAPÍTULO IX — VIGENCIA Y DISPOSICIONES VARIAS</w:t>
      </w:r>
    </w:p>
    <w:p>
      <w:r>
        <w:rPr>
          <w:b/>
          <w:color w:val="1F3A5F"/>
          <w:sz w:val="22"/>
        </w:rPr>
        <w:t xml:space="preserve">Art. 50 — Sustitución Patronal    </w:t>
      </w:r>
      <w:r>
        <w:rPr>
          <w:b/>
          <w:color w:val="1E8A4C"/>
          <w:sz w:val="20"/>
        </w:rPr>
        <w:t>ACEPTAR (legal)</w:t>
      </w:r>
    </w:p>
    <w:p>
      <w:r>
        <w:rPr>
          <w:b/>
          <w:sz w:val="19"/>
        </w:rPr>
        <w:t xml:space="preserve">Análisis de conveniencia para SAAAB: </w:t>
      </w:r>
      <w:r>
        <w:rPr>
          <w:sz w:val="19"/>
        </w:rPr>
        <w:t>ACEPTABLE. Reitera el Art. 67 CST; no amplía obligaciones ni genera costo. Declarativo.</w:t>
      </w:r>
    </w:p>
    <w:p>
      <w:r>
        <w:rPr>
          <w:b/>
          <w:color w:val="1F3A5F"/>
          <w:sz w:val="22"/>
        </w:rPr>
        <w:t xml:space="preserve">Art. 51 — Pago Quincenal    </w:t>
      </w:r>
      <w:r>
        <w:rPr>
          <w:b/>
          <w:color w:val="C0392B"/>
          <w:sz w:val="20"/>
        </w:rPr>
        <w:t>RECHAZAR / NO ASUMIR</w:t>
      </w:r>
    </w:p>
    <w:p>
      <w:r>
        <w:rPr>
          <w:b/>
          <w:sz w:val="19"/>
        </w:rPr>
        <w:t xml:space="preserve">Análisis de conveniencia para SAAAB: </w:t>
      </w:r>
      <w:r>
        <w:rPr>
          <w:sz w:val="19"/>
        </w:rPr>
        <w:t>NO ASUMIR. Aunque no aumenta el valor de la nómina, duplica el proceso administrativo de pago y compromete recursos operativos y de tesorería. Mantener el pago mensual salvo que se demuestre costo cero.</w:t>
      </w:r>
    </w:p>
    <w:p>
      <w:r>
        <w:rPr>
          <w:b/>
          <w:color w:val="1F3A5F"/>
          <w:sz w:val="22"/>
        </w:rPr>
        <w:t xml:space="preserve">Art. 52 — Vigencia    </w:t>
      </w:r>
      <w:r>
        <w:rPr>
          <w:b/>
          <w:color w:val="B87A00"/>
          <w:sz w:val="20"/>
        </w:rPr>
        <w:t>ACTUALIZAR / SIN RETROACTIVIDAD</w:t>
      </w:r>
    </w:p>
    <w:p>
      <w:r>
        <w:rPr>
          <w:b/>
          <w:i/>
          <w:sz w:val="19"/>
        </w:rPr>
        <w:t xml:space="preserve">¿Qué pide el sindicato? </w:t>
      </w:r>
      <w:r>
        <w:rPr>
          <w:sz w:val="19"/>
        </w:rPr>
        <w:t>Vigencia de un año (1 jul 2023 – 30 jun 2024).</w:t>
      </w:r>
    </w:p>
    <w:p>
      <w:r>
        <w:rPr>
          <w:b/>
          <w:sz w:val="19"/>
        </w:rPr>
        <w:t xml:space="preserve">Análisis de conveniencia para SAAAB: </w:t>
      </w:r>
      <w:r>
        <w:rPr>
          <w:sz w:val="19"/>
        </w:rPr>
        <w:t>La vigencia propuesta ya está vencida. Debe redefinirse a fechas actuales y, de manera imperativa, excluir cualquier efecto retroactivo de los beneficios económicos. A la Empresa le conviene pactar una vigencia plurianual (2 años o más).</w:t>
      </w:r>
    </w:p>
    <w:p>
      <w:r>
        <w:rPr>
          <w:b/>
          <w:color w:val="1F3A5F"/>
          <w:sz w:val="28"/>
        </w:rPr>
        <w:t>12. RECOMENDACIONES ESTRATÉGICAS PARA SAAAB</w:t>
      </w:r>
    </w:p>
    <w:p>
      <w:r>
        <w:t>Conforme a la directriz de no asumir nuevas erogaciones ni comprometer recursos adicionales, la posición negociadora se sintetiza así:</w:t>
      </w:r>
    </w:p>
    <w:tbl>
      <w:tblPr>
        <w:tblStyle w:val="TableGrid"/>
        <w:tblW w:type="auto" w:w="0"/>
        <w:tblLook w:firstColumn="1" w:firstRow="1" w:lastColumn="0" w:lastRow="0" w:noHBand="0" w:noVBand="1" w:val="04A0"/>
      </w:tblPr>
      <w:tblGrid>
        <w:gridCol w:w="4320"/>
        <w:gridCol w:w="4320"/>
      </w:tblGrid>
      <w:tr>
        <w:tc>
          <w:tcPr>
            <w:tcW w:type="dxa" w:w="3456"/>
            <w:shd w:val="clear" w:color="auto" w:fill="1F3A5F"/>
          </w:tcPr>
          <w:p>
            <w:r/>
            <w:r>
              <w:rPr>
                <w:b/>
                <w:color w:val="FFFFFF"/>
                <w:sz w:val="19"/>
              </w:rPr>
              <w:t>Postura</w:t>
            </w:r>
          </w:p>
        </w:tc>
        <w:tc>
          <w:tcPr>
            <w:tcW w:type="dxa" w:w="6624"/>
            <w:shd w:val="clear" w:color="auto" w:fill="1F3A5F"/>
          </w:tcPr>
          <w:p>
            <w:r/>
            <w:r>
              <w:rPr>
                <w:b/>
                <w:color w:val="FFFFFF"/>
                <w:sz w:val="19"/>
              </w:rPr>
              <w:t>Artículos</w:t>
            </w:r>
          </w:p>
        </w:tc>
      </w:tr>
      <w:tr>
        <w:tc>
          <w:tcPr>
            <w:tcW w:type="dxa" w:w="3456"/>
            <w:shd w:val="clear" w:color="auto" w:fill="E8F5E9"/>
          </w:tcPr>
          <w:p>
            <w:r/>
            <w:r>
              <w:rPr>
                <w:b/>
                <w:color w:val="1E8A4C"/>
                <w:sz w:val="18"/>
              </w:rPr>
              <w:t>ACEPTAR sin objeción (declarativos / legales / sin costo / favorables)</w:t>
            </w:r>
          </w:p>
        </w:tc>
        <w:tc>
          <w:tcPr>
            <w:tcW w:type="dxa" w:w="6624"/>
          </w:tcPr>
          <w:p>
            <w:r/>
            <w:r>
              <w:rPr>
                <w:b w:val="0"/>
                <w:sz w:val="18"/>
              </w:rPr>
              <w:t>Art. 2 · Art. 9 · Art. 10 · Art. 11 · Art. 17 · Art. 18 · Art. 31 · Art. 36 · Art. 44 · Art. 47 · Art. 50</w:t>
            </w:r>
          </w:p>
        </w:tc>
      </w:tr>
      <w:tr>
        <w:tc>
          <w:tcPr>
            <w:tcW w:type="dxa" w:w="3456"/>
            <w:shd w:val="clear" w:color="auto" w:fill="FFF8E1"/>
          </w:tcPr>
          <w:p>
            <w:r/>
            <w:r>
              <w:rPr>
                <w:b/>
                <w:color w:val="B87A00"/>
                <w:sz w:val="18"/>
              </w:rPr>
              <w:t>ACEPTAR SOLO CON AJUSTES / ACOTADO A LO LEGAL</w:t>
            </w:r>
          </w:p>
        </w:tc>
        <w:tc>
          <w:tcPr>
            <w:tcW w:type="dxa" w:w="6624"/>
          </w:tcPr>
          <w:p>
            <w:r/>
            <w:r>
              <w:rPr>
                <w:b w:val="0"/>
                <w:sz w:val="18"/>
              </w:rPr>
              <w:t>Art. 1 (sin "no regresividad") · Art. 12 (solo laboral) · Art. 16 (solo dotación legal) · Art. 52 (vigencia actualizada y sin retroactividad)</w:t>
            </w:r>
          </w:p>
        </w:tc>
      </w:tr>
      <w:tr>
        <w:tc>
          <w:tcPr>
            <w:tcW w:type="dxa" w:w="3456"/>
            <w:shd w:val="clear" w:color="auto" w:fill="FDECEA"/>
          </w:tcPr>
          <w:p>
            <w:r/>
            <w:r>
              <w:rPr>
                <w:b/>
                <w:color w:val="C0392B"/>
                <w:sz w:val="18"/>
              </w:rPr>
              <w:t>RECHAZAR (generan erogación o comprometen recursos)</w:t>
            </w:r>
          </w:p>
        </w:tc>
        <w:tc>
          <w:tcPr>
            <w:tcW w:type="dxa" w:w="6624"/>
          </w:tcPr>
          <w:p>
            <w:r/>
            <w:r>
              <w:rPr>
                <w:b w:val="0"/>
                <w:sz w:val="18"/>
              </w:rPr>
              <w:t>Art. 3 · 4 · 5 · 6 · 7 (cláusula vinculante) · 8 · 13 · 14 · 15 · 19 · 20 · 21 · 22 · 23 · 24 · 25 · 26 · 27 · 28 · 29 · 30 · 32 · 33 · 34 · 35 · 37 · 38 · 39 · 40 · 41 · 42 · 43 · 45 · 46 · 48 · 49 · 51</w:t>
            </w:r>
          </w:p>
        </w:tc>
      </w:tr>
    </w:tbl>
    <w:p/>
    <w:p>
      <w:r>
        <w:rPr>
          <w:b/>
          <w:color w:val="1F3A5F"/>
        </w:rPr>
        <w:t>Puntos de refuerzo para la mesa:</w:t>
      </w:r>
    </w:p>
    <w:p>
      <w:pPr>
        <w:pStyle w:val="ListBullet"/>
      </w:pPr>
      <w:r>
        <w:t>Eliminar duplicidades del propio pliego: Art. 20 ↔ 42 (exequiales), Art. 33 ↔ 49 (riesgo biológico/químico), Art. 37 ↔ 48 (auxilio visual). Su existencia demuestra falta de costeo.</w:t>
      </w:r>
    </w:p>
    <w:p>
      <w:pPr>
        <w:pStyle w:val="ListBullet"/>
      </w:pPr>
      <w:r>
        <w:t>Líneas rojas absolutas: Art. 3 (estabilidad reforzada), Art. 6 (regresión de jornada) y Art. 23 (IPC + 3 puntos), por su impacto estructural y permanente.</w:t>
      </w:r>
    </w:p>
    <w:p>
      <w:pPr>
        <w:pStyle w:val="ListBullet"/>
      </w:pPr>
      <w:r>
        <w:t>Vigencia (Art. 52): exigir actualización de fechas y exclusión de retroactividad antes de cualquier discusión.</w:t>
      </w:r>
    </w:p>
    <w:p/>
    <w:p>
      <w:r>
        <w:rPr>
          <w:i/>
          <w:color w:val="555555"/>
          <w:sz w:val="17"/>
        </w:rPr>
        <w:t>Este análisis se elabora con fines de asesoría interna para la posición negociadora de SAAAB S.A. E.S.P. La clasificación responde a la directriz de no asumir nuevas erogaciones ni comprometer recursos adicionales. Los montos y conceptos deben ser validados con las áreas Jurídica, Financiera y de Nómina antes de la suscripción.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