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CONTRATO DE OPERACIÓN, MANTENIMIENTO Y COMERCIALIZACIÓN DE AGUA POTABLE EN LAS REDES DE ACUEDUCTO DE LAS INSTALACIONES PORTUARIAS DEL DISTRITO DE BUENAVENTURA</w:t>
      </w:r>
    </w:p>
    <w:p>
      <w:r>
        <w:rPr>
          <w:b/>
        </w:rPr>
        <w:t>No. [SAAAB-CABQ-2026-001]</w:t>
      </w:r>
    </w:p>
    <w:p>
      <w:r>
        <w:t>Entre la SOCIEDAD DE ACUEDUCTO, ALCANTARILLADO Y ASEO DE BUENAVENTURA E.S.P. y PACIFIC WATERS O.P S.A.S.</w:t>
      </w:r>
    </w:p>
    <w:p>
      <w:pPr>
        <w:pStyle w:val="Heading1"/>
      </w:pPr>
      <w:r>
        <w:t>PARTES CONTRATANTES</w:t>
      </w:r>
    </w:p>
    <w:p>
      <w:r>
        <w:rPr>
          <w:b/>
        </w:rPr>
        <w:t>LA CONTRATANTE:</w:t>
      </w:r>
      <w:r>
        <w:t xml:space="preserve"> SOCIEDAD DE ACUEDUCTO, ALCANTARILLADO Y ASEO DE BUENAVENTURA S.A.S. E.S.P. – SAAAB S.A.S. E.S.P., empresa de servicios públicos domiciliarios de naturaleza mixta, organizada como sociedad por acciones simplificada, dotada de autonomía administrativa, patrimonial y presupuestal, sometida al régimen especial de la Ley 142 de 1994, matriculada en la Cámara de Comercio de Buenaventura bajo el No. 36163, NIT 835.001.290-3, con domicilio principal en el Distrito Especial, Industrial, Portuario, Biodiverso y Ecoturístico de Buenaventura (Valle del Cauca), Diagonal 3 Cr. 4 Esquina No. 3-57, Barrio Obrero, correo electrónico institucional info@saaab.gov.co; constituida en el año 2001 y reorganizada en 2004, con reformas posteriores inscritas en la Cámara de Comercio de Buenaventura; única prestadora de los servicios públicos domiciliarios de acueducto, alcantarillado y aseo en el Distrito de Buenaventura, inscrita en el Registro Único de Prestadores (RUPS), cuyo objeto social contempla expresamente la venta o distribución de agua potable en bloque por cualquier mecanismo, la venta o distribución de agua a buques e instalaciones portuarias, y la construcción, operación y mantenimiento de sistemas de acueducto en instalaciones portuarias, conforme al Artículo 5 de sus Estatutos Sociales vigentes; representada legalmente por MARÍA EFIGENIA SALAZAR GUTIÉRREZ, identificada con cédula de ciudadanía No. 66.737.610, Gerente General, actuando con previa autorización de la Junta Directiva según consta en el Acta No. [____] del [____] [DILIGENCIAR Y ANEXAR], en adelante </w:t>
      </w:r>
      <w:r>
        <w:rPr>
          <w:b/>
        </w:rPr>
        <w:t>"LA SAAAB"</w:t>
      </w:r>
      <w:r>
        <w:t xml:space="preserve"> o </w:t>
      </w:r>
      <w:r>
        <w:rPr>
          <w:b/>
        </w:rPr>
        <w:t>"LA CONTRATANTE"</w:t>
      </w:r>
      <w:r>
        <w:t>; y</w:t>
      </w:r>
    </w:p>
    <w:p>
      <w:r>
        <w:rPr>
          <w:b/>
        </w:rPr>
        <w:t>EL CONTRATISTA:</w:t>
      </w:r>
      <w:r>
        <w:t xml:space="preserve"> PACIFIC WATERS O.P S.A.S. (anteriormente Aguas del Pacífico O.P S.A.S.), sociedad comercial privada por acciones simplificada, con domicilio en Buenaventura (Valle del Cauca), NIT 901932430-1, matrícula mercantil No. 199902 de la Cámara de Comercio de Buenaventura, dirección DG 4 B 7 46 Calle Sor Vásquez, correo electrónico [DEFINIR correo corporativo — el actual es de dominio Gmail]; representada por LUZ STELLA BENÍTEZ SIERRA, C.C. No. 31.199.702, Representante Legal Principal sin restricciones de cuantía para contratar, conforme al certificado de existencia y representación legal expedido por la Cámara de Comercio de Buenaventura el 6 de marzo de 2026 (código Zy1CfACUBd); inscrita como Operadora Portuaria ante la Superintendencia de Puertos y Transporte, Registro No. 2025082218393701 del 24 de octubre de 2025 (Ley 1753/2015, art. 36, y Resolución 7726/2016), en adelante </w:t>
      </w:r>
      <w:r>
        <w:rPr>
          <w:b/>
        </w:rPr>
        <w:t>"EL CONTRATISTA"</w:t>
      </w:r>
      <w:r>
        <w:t xml:space="preserve"> o </w:t>
      </w:r>
      <w:r>
        <w:rPr>
          <w:b/>
        </w:rPr>
        <w:t>"PACIFIC WATERS"</w:t>
      </w:r>
      <w:r>
        <w:t>.</w:t>
      </w:r>
    </w:p>
    <w:p>
      <w:r>
        <w:t>Las partes, en ejercicio de su autonomía contractual y bajo el régimen de derecho privado aplicable a las empresas de servicios públicos (arts. 31 y 32 de la Ley 142 de 1994), celebran el presente contrato conforme a las siguientes consideraciones y cláusulas:</w:t>
      </w:r>
    </w:p>
    <w:p>
      <w:pPr>
        <w:pStyle w:val="Heading1"/>
      </w:pPr>
      <w:r>
        <w:t>CONSIDERANDOS</w:t>
      </w:r>
    </w:p>
    <w:p>
      <w:r>
        <w:rPr>
          <w:b/>
        </w:rPr>
        <w:t>PRIMERO.</w:t>
      </w:r>
      <w:r>
        <w:t xml:space="preserve"> Que la SAAAB es la única prestadora de los servicios públicos domiciliarios de acueducto, alcantarillado y aseo en el Distrito de Buenaventura, y que el Artículo 5 de sus Estatutos Sociales vigentes contempla, entre las actividades de su objeto social: la venta o distribución de agua potable en bloque por cualquier mecanismo; la venta o distribución de agua a buques e instalaciones portuarias; y la construcción, operación y mantenimiento de sistemas de acueducto en instalaciones portuarias.</w:t>
      </w:r>
    </w:p>
    <w:p>
      <w:r>
        <w:rPr>
          <w:b/>
        </w:rPr>
        <w:t>SEGUNDO.</w:t>
      </w:r>
      <w:r>
        <w:t xml:space="preserve"> Que el presente contrato se rige por el régimen especial de contratación de las empresas de servicios públicos domiciliarios. Conforme al artículo 31 de la Ley 142 de 1994, los contratos que celebren las entidades que prestan los servicios públicos a que se refiere dicha ley no están sujetos al Estatuto General de Contratación de la Administración Pública, salvo disposición expresa en contrario; y conforme al artículo 32 ibídem, los actos de las empresas de servicios públicos se rigen exclusivamente por las reglas del derecho privado en lo no dispuesto especialmente por la ley.</w:t>
      </w:r>
    </w:p>
    <w:p>
      <w:r>
        <w:rPr>
          <w:b/>
        </w:rPr>
        <w:t>TERCERO.</w:t>
      </w:r>
      <w:r>
        <w:t xml:space="preserve"> Que la operación, suministro y comercialización de agua en bloque a las motonaves y demás usuarios no domiciliarios del sector marítimo-portuario constituye un </w:t>
      </w:r>
      <w:r>
        <w:rPr>
          <w:b/>
        </w:rPr>
        <w:t>contrato de naturaleza comercial</w:t>
      </w:r>
      <w:r>
        <w:t xml:space="preserve">, regido por el Código de Comercio y el Código Civil, y </w:t>
      </w:r>
      <w:r>
        <w:rPr>
          <w:b/>
        </w:rPr>
        <w:t>no un contrato de servicios públicos domiciliarios</w:t>
      </w:r>
      <w:r>
        <w:t xml:space="preserve"> en los términos del artículo 128 de la Ley 142 de 1994, por cuanto no existe la relación uniforme empresa–usuario propia del contrato de condiciones uniformes. En consecuencia, no le son aplicables las disposiciones sobre suspensión, corte del servicio, determinación del consumo facturable ni defensa de usuarios en sede de empresa.</w:t>
      </w:r>
    </w:p>
    <w:p>
      <w:r>
        <w:rPr>
          <w:b/>
        </w:rPr>
        <w:t>CUARTO.</w:t>
      </w:r>
      <w:r>
        <w:t xml:space="preserve"> Que el Puerto de Buenaventura es el principal puerto del país sobre el Pacífico, a cuyos terminales —entre ellos la Sociedad Portuaria Regional de Buenaventura (SPRB), el Grupo Portuario y demás terminales del Distrito— arriban permanentemente motonaves que requieren suministro continuo de agua potable, demanda determinante para la competitividad portuaria.</w:t>
      </w:r>
    </w:p>
    <w:p>
      <w:r>
        <w:rPr>
          <w:b/>
        </w:rPr>
        <w:t>QUINTO.</w:t>
      </w:r>
      <w:r>
        <w:t xml:space="preserve"> Que, conforme al Estudio de Conveniencia elaborado por la SAAAB el 14 de junio de 2026, la infraestructura de acueducto destinada al abastecimiento de motonaves en el terminal de la Sociedad Portuaria se encuentra en condición crítica —con cerca del [87%] de la red de distribución inoperativa y disponibilidad efectiva de aproximadamente el [13%]—, lo que ha derivado en que un porcentaje cercano al [76%] de la demanda sea atendido por terceros mediante carrotanques, con la consiguiente pérdida de ingresos para la SAAAB.</w:t>
      </w:r>
    </w:p>
    <w:p>
      <w:r>
        <w:rPr>
          <w:b/>
        </w:rPr>
        <w:t>SEXTO.</w:t>
      </w:r>
      <w:r>
        <w:t xml:space="preserve"> Que la SAAAB, por su condición financiera, </w:t>
      </w:r>
      <w:r>
        <w:rPr>
          <w:b/>
        </w:rPr>
        <w:t>no dispone de recursos suficientes</w:t>
      </w:r>
      <w:r>
        <w:t xml:space="preserve"> para financiar las inversiones de rehabilitación, reposición, modernización y puesta en funcionamiento de la infraestructura, ni cuenta con el personal, los equipos ni la estructura operativa y comercial para garantizar el suministro continuo a las motonaves las 24 horas del día, los 7 días de la semana.</w:t>
      </w:r>
    </w:p>
    <w:p>
      <w:r>
        <w:rPr>
          <w:b/>
        </w:rPr>
        <w:t>SÉPTIMO.</w:t>
      </w:r>
      <w:r>
        <w:t xml:space="preserve"> Que, por lo anterior, la SAAAB determinó la conveniencia de vincular a un aliado estratégico que </w:t>
      </w:r>
      <w:r>
        <w:rPr>
          <w:b/>
        </w:rPr>
        <w:t>financie y ejecute</w:t>
      </w:r>
      <w:r>
        <w:t xml:space="preserve"> las inversiones de recuperación de la infraestructura, </w:t>
      </w:r>
      <w:r>
        <w:rPr>
          <w:b/>
        </w:rPr>
        <w:t>opere y mantenga</w:t>
      </w:r>
      <w:r>
        <w:t xml:space="preserve"> las redes y </w:t>
      </w:r>
      <w:r>
        <w:rPr>
          <w:b/>
        </w:rPr>
        <w:t>comercialice</w:t>
      </w:r>
      <w:r>
        <w:t xml:space="preserve"> el agua potable a las motonaves y demás usuarios no domiciliarios, </w:t>
      </w:r>
      <w:r>
        <w:rPr>
          <w:b/>
        </w:rPr>
        <w:t>recuperando su inversión a través de los ingresos comerciales</w:t>
      </w:r>
      <w:r>
        <w:t xml:space="preserve"> y </w:t>
      </w:r>
      <w:r>
        <w:rPr>
          <w:b/>
        </w:rPr>
        <w:t>transfiriendo a la SAAAB una participación sobre las ventas</w:t>
      </w:r>
      <w:r>
        <w:t>, sin que la SAAAB asuma erogación presupuestal ni costos de operación.</w:t>
      </w:r>
    </w:p>
    <w:p>
      <w:r>
        <w:rPr>
          <w:b/>
        </w:rPr>
        <w:t>OCTAVO.</w:t>
      </w:r>
      <w:r>
        <w:t xml:space="preserve"> Que PACIFIC WATERS O.P S.A.S. acredita su idoneidad técnica, organizacional y financiera, y cuenta con Registro de Operador Portuario vigente No. 2025082218393701 que la habilita para prestar "servicios públicos" y "aprovisionamiento y usería" en la zona portuaria de Buenaventura.</w:t>
      </w:r>
    </w:p>
    <w:p>
      <w:r>
        <w:rPr>
          <w:b/>
        </w:rPr>
        <w:t>NOVENO.</w:t>
      </w:r>
      <w:r>
        <w:t xml:space="preserve"> Que las partes verificaron mutuamente su capacidad jurídica para contratar; que la Gerente General de la SAAAB cuenta con la autorización de su Junta Directiva, y que la Representante Legal de PACIFIC WATERS no tiene restricciones de cuantía.</w:t>
      </w:r>
    </w:p>
    <w:p>
      <w:r>
        <w:t>En virtud de lo anterior, las partes acuerdan:</w:t>
      </w:r>
    </w:p>
    <w:p>
      <w:pPr>
        <w:pStyle w:val="Heading1"/>
      </w:pPr>
      <w:r>
        <w:t>CLÁUSULAS</w:t>
      </w:r>
    </w:p>
    <w:p>
      <w:pPr>
        <w:pStyle w:val="Heading2"/>
      </w:pPr>
      <w:r>
        <w:t>CLÁUSULA PRIMERA. – OBJETO</w:t>
      </w:r>
    </w:p>
    <w:p>
      <w:r>
        <w:t xml:space="preserve">El objeto del presente contrato es la </w:t>
      </w:r>
      <w:r>
        <w:rPr>
          <w:b/>
        </w:rPr>
        <w:t>operación, mantenimiento, rehabilitación, reposición y optimización</w:t>
      </w:r>
      <w:r>
        <w:t xml:space="preserve"> de las redes de acueducto ubicadas en el aproche de los muelles </w:t>
      </w:r>
      <w:r>
        <w:rPr>
          <w:b/>
        </w:rPr>
        <w:t>1 al 15</w:t>
      </w:r>
      <w:r>
        <w:t xml:space="preserve"> de la Sociedad Portuaria Regional de Buenaventura (SPRB) y del Grupo Portuario [VERIFICAR rango de muelles: el presupuesto de rehabilitación inicial se refiere a la línea de acuabuque entre los muelles 2 al 13], y la </w:t>
      </w:r>
      <w:r>
        <w:rPr>
          <w:b/>
        </w:rPr>
        <w:t>comercialización y suministro de agua potable</w:t>
      </w:r>
      <w:r>
        <w:t xml:space="preserve"> a las motonaves y demás usuarios no domiciliarios que operen en dichos terminales del Distrito Especial de Buenaventura, a cambio de que EL CONTRATISTA transfiera a LA SAAAB una participación sobre las ventas, en los términos de la Cláusula Quinta.</w:t>
      </w:r>
    </w:p>
    <w:p>
      <w:r>
        <w:rPr>
          <w:b/>
        </w:rPr>
        <w:t>Parágrafo primero.</w:t>
      </w:r>
      <w:r>
        <w:t xml:space="preserve"> Los puntos de acceso y conexión específicos se determinarán de común acuerdo mediante Actas de Inicio o de Ampliación de Cobertura, que formarán parte integrante del contrato.</w:t>
      </w:r>
    </w:p>
    <w:p>
      <w:r>
        <w:rPr>
          <w:b/>
        </w:rPr>
        <w:t>Parágrafo segundo.</w:t>
      </w:r>
      <w:r>
        <w:t xml:space="preserve"> El agua suministrada cumplirá en todos los casos con los parámetros de calidad de la Resolución 2115 de 2007, o la norma que la modifique, en el punto de entrega.</w:t>
      </w:r>
    </w:p>
    <w:p>
      <w:pPr>
        <w:pStyle w:val="Heading2"/>
      </w:pPr>
      <w:r>
        <w:t>CLÁUSULA SEGUNDA. – ALCANCE</w:t>
      </w:r>
    </w:p>
    <w:p>
      <w:r>
        <w:t>EL CONTRATISTA ejecutará, como mínimo, las siguientes actividades:</w:t>
      </w:r>
    </w:p>
    <w:p>
      <w:pPr>
        <w:pStyle w:val="ListNumber"/>
      </w:pPr>
      <w:r>
        <w:rPr>
          <w:b/>
        </w:rPr>
        <w:t>Rehabilitación</w:t>
      </w:r>
      <w:r>
        <w:t xml:space="preserve"> de la línea de acuabuque y de las redes de acueducto del aproche de los muelles objeto del contrato, conforme al presupuesto de referencia del Anexo de Presupuesto de Rehabilitación.</w:t>
      </w:r>
    </w:p>
    <w:p>
      <w:pPr>
        <w:pStyle w:val="ListNumber"/>
      </w:pPr>
      <w:r>
        <w:rPr>
          <w:b/>
        </w:rPr>
        <w:t>Operación</w:t>
      </w:r>
      <w:r>
        <w:t xml:space="preserve"> de equipos, redes y sistemas de bombeo.</w:t>
      </w:r>
    </w:p>
    <w:p>
      <w:pPr>
        <w:pStyle w:val="ListNumber"/>
      </w:pPr>
      <w:r>
        <w:rPr>
          <w:b/>
        </w:rPr>
        <w:t>Mantenimiento</w:t>
      </w:r>
      <w:r>
        <w:t xml:space="preserve"> preventivo y correctivo de la infraestructura destinada al abastecimiento.</w:t>
      </w:r>
    </w:p>
    <w:p>
      <w:pPr>
        <w:pStyle w:val="ListNumber"/>
      </w:pPr>
      <w:r>
        <w:rPr>
          <w:b/>
        </w:rPr>
        <w:t>Control de calidad</w:t>
      </w:r>
      <w:r>
        <w:t xml:space="preserve"> del agua conforme a la Resolución 2115 de 2007.</w:t>
      </w:r>
    </w:p>
    <w:p>
      <w:pPr>
        <w:pStyle w:val="ListNumber"/>
      </w:pPr>
      <w:r>
        <w:rPr>
          <w:b/>
        </w:rPr>
        <w:t>Registro y reporte</w:t>
      </w:r>
      <w:r>
        <w:t xml:space="preserve"> de consumos y ventas a LA SAAAB.</w:t>
      </w:r>
    </w:p>
    <w:p>
      <w:pPr>
        <w:pStyle w:val="ListNumber"/>
      </w:pPr>
      <w:r>
        <w:rPr>
          <w:b/>
        </w:rPr>
        <w:t>Comercialización y suministro</w:t>
      </w:r>
      <w:r>
        <w:t xml:space="preserve"> de agua potable a las motonaves los 7 días de la semana, las 24 horas del día, en coordinación con las navieras.</w:t>
      </w:r>
    </w:p>
    <w:p>
      <w:pPr>
        <w:pStyle w:val="ListNumber"/>
      </w:pPr>
      <w:r>
        <w:t xml:space="preserve">Presentación, para aprobación de LA SAAAB, del </w:t>
      </w:r>
      <w:r>
        <w:rPr>
          <w:b/>
        </w:rPr>
        <w:t>plan de reposición</w:t>
      </w:r>
      <w:r>
        <w:t xml:space="preserve"> de la tubería ubicada bajo el aproche de los muelles.</w:t>
      </w:r>
    </w:p>
    <w:p>
      <w:pPr>
        <w:pStyle w:val="Heading2"/>
      </w:pPr>
      <w:r>
        <w:t>CLÁUSULA TERCERA. – DEFINICIONES</w:t>
      </w:r>
    </w:p>
    <w:p>
      <w:r>
        <w:t>Para efectos de este contrato, además de las definiciones del DUR 1077 de 2015, se adoptan:</w:t>
      </w:r>
    </w:p>
    <w:p>
      <w:pPr>
        <w:pStyle w:val="ListBullet"/>
      </w:pPr>
      <w:r>
        <w:rPr>
          <w:b/>
        </w:rPr>
        <w:t>3.1. Agua en bloque:</w:t>
      </w:r>
      <w:r>
        <w:t xml:space="preserve"> Agua potable que LA SAAAB pone a disposición de EL CONTRATISTA en los puntos de acceso convenidos, en condiciones de calidad, presión y continuidad pactadas.</w:t>
      </w:r>
    </w:p>
    <w:p>
      <w:pPr>
        <w:pStyle w:val="ListBullet"/>
      </w:pPr>
      <w:r>
        <w:rPr>
          <w:b/>
        </w:rPr>
        <w:t>3.2. Punto de acceso / conexión:</w:t>
      </w:r>
      <w:r>
        <w:t xml:space="preserve"> Punto del sistema de acueducto de LA SAAAB en las instalaciones portuarias donde EL CONTRATISTA recibe el agua.</w:t>
      </w:r>
    </w:p>
    <w:p>
      <w:pPr>
        <w:pStyle w:val="ListBullet"/>
      </w:pPr>
      <w:r>
        <w:rPr>
          <w:b/>
        </w:rPr>
        <w:t>3.3. Ventas brutas:</w:t>
      </w:r>
      <w:r>
        <w:t xml:space="preserve"> Valor total facturado por EL CONTRATISTA a las motonaves y demás usuarios por el suministro de agua, antes de impuestos. Constituye la base sobre la cual se calcula la participación de LA SAAAB.</w:t>
      </w:r>
    </w:p>
    <w:p>
      <w:pPr>
        <w:pStyle w:val="ListBullet"/>
      </w:pPr>
      <w:r>
        <w:rPr>
          <w:b/>
        </w:rPr>
        <w:t>3.4. Participación de LA SAAAB:</w:t>
      </w:r>
      <w:r>
        <w:t xml:space="preserve"> Porcentaje de las ventas que EL CONTRATISTA transfiere a LA SAAAB como contraprestación.</w:t>
      </w:r>
    </w:p>
    <w:p>
      <w:pPr>
        <w:pStyle w:val="ListBullet"/>
      </w:pPr>
      <w:r>
        <w:rPr>
          <w:b/>
        </w:rPr>
        <w:t>3.5. Motonave:</w:t>
      </w:r>
      <w:r>
        <w:t xml:space="preserve"> Embarcación de todo tipo y bandera que atraca en los puertos o terminales del Distrito de Buenaventura.</w:t>
      </w:r>
    </w:p>
    <w:p>
      <w:pPr>
        <w:pStyle w:val="ListBullet"/>
      </w:pPr>
      <w:r>
        <w:rPr>
          <w:b/>
        </w:rPr>
        <w:t>3.6. Indisponibilidad:</w:t>
      </w:r>
      <w:r>
        <w:t xml:space="preserve"> Interrupción o deficiencia del suministro de agua en bloque por parte de LA SAAAB que supere dos (2) horas continuas.</w:t>
      </w:r>
    </w:p>
    <w:p>
      <w:pPr>
        <w:pStyle w:val="ListBullet"/>
      </w:pPr>
      <w:r>
        <w:rPr>
          <w:b/>
        </w:rPr>
        <w:t>3.7. Mantenimiento autorizado:</w:t>
      </w:r>
      <w:r>
        <w:t xml:space="preserve"> El que cumple acumulativamente: (i) previa autorización escrita de LA SAAAB o notificación de emergencia aceptada dentro de las 48 horas; (ii) debida documentación con facturas y soporte técnico; y (iii) no imputable a negligencia de EL CONTRATISTA o sus subcontratistas.</w:t>
      </w:r>
    </w:p>
    <w:p>
      <w:pPr>
        <w:pStyle w:val="Heading2"/>
      </w:pPr>
      <w:r>
        <w:t>CLÁUSULA CUARTA. – VIGENCIA Y PLAZO</w:t>
      </w:r>
    </w:p>
    <w:p>
      <w:r>
        <w:t xml:space="preserve">El contrato tendrá una duración de </w:t>
      </w:r>
      <w:r>
        <w:rPr>
          <w:b/>
        </w:rPr>
        <w:t>VEINTE (20) AÑOS</w:t>
      </w:r>
      <w:r>
        <w:t xml:space="preserve"> contados a partir de la suscripción del Acta de Inicio, la cual se levantará dentro de los quince (15) días calendario siguientes a la firma.</w:t>
      </w:r>
    </w:p>
    <w:p>
      <w:r>
        <w:t>El contrato podrá prorrogarse por períodos iguales previo acuerdo escrito, debidamente justificado en razones técnicas y económicas, suscrito con no menos de treinta (30) días calendario de antelación al vencimiento. En ausencia de manifestación escrita de no prorrogar de cualquiera de las partes con esa antelación, se entenderá prorrogado en iguales condiciones por el término inicial.</w:t>
      </w:r>
    </w:p>
    <w:p>
      <w:pPr>
        <w:pStyle w:val="Heading2"/>
      </w:pPr>
      <w:r>
        <w:t>CLÁUSULA QUINTA. – RÉGIMEN ECONÓMICO, PARTICIPACIÓN Y FORMA DE PAGO</w:t>
      </w:r>
    </w:p>
    <w:p>
      <w:r>
        <w:rPr>
          <w:b/>
        </w:rPr>
        <w:t>5.1. Inversión.</w:t>
      </w:r>
      <w:r>
        <w:t xml:space="preserve"> EL CONTRATISTA financiará y ejecutará, con recursos propios, las inversiones de rehabilitación y reposición de la infraestructura, estimadas como valor de referencia en </w:t>
      </w:r>
      <w:r>
        <w:rPr>
          <w:b/>
        </w:rPr>
        <w:t>QUINIENTOS NOVENTA Y SEIS MILLONES CIENTO SESENTA Y DOS MIL CUATROCIENTOS OCHENTA Y DOS PESOS CON CINCUENTA CENTAVOS M/CTE ($596.162.482,50)</w:t>
      </w:r>
      <w:r>
        <w:t xml:space="preserve"> [corrección de la cifra en letras del estudio, que erróneamente indicaba "mil millones"], conforme al Anexo de Presupuesto de Rehabilitación. El presente contrato </w:t>
      </w:r>
      <w:r>
        <w:rPr>
          <w:b/>
        </w:rPr>
        <w:t>no genera erogación presupuestal</w:t>
      </w:r>
      <w:r>
        <w:t xml:space="preserve"> para LA SAAAB.</w:t>
      </w:r>
    </w:p>
    <w:p>
      <w:r>
        <w:rPr>
          <w:b/>
        </w:rPr>
        <w:t>5.2. Participación de LA SAAAB (única contraprestación económica).</w:t>
      </w:r>
      <w:r>
        <w:t xml:space="preserve"> Como única contraprestación económica por el agua suministrada, el uso de la infraestructura y el derecho de comercialización, EL CONTRATISTA transferirá a LA SAAAB una participación equivalente al </w:t>
      </w:r>
      <w:r>
        <w:rPr>
          <w:b/>
        </w:rPr>
        <w:t>[____]%</w:t>
      </w:r>
      <w:r>
        <w:t xml:space="preserve"> de las </w:t>
      </w:r>
      <w:r>
        <w:rPr>
          <w:b/>
        </w:rPr>
        <w:t>ventas brutas</w:t>
      </w:r>
      <w:r>
        <w:t xml:space="preserve"> mensuales derivadas del suministro de agua a motonaves y demás usuarios. EL CONTRATISTA no pagará suma adicional por concepto de agua en bloque ni por uso de la infraestructura.</w:t>
      </w:r>
    </w:p>
    <w:p>
      <w:r>
        <w:rPr>
          <w:b/>
        </w:rPr>
        <w:t>5.3. Liquidación y pago.</w:t>
      </w:r>
      <w:r>
        <w:t xml:space="preserve"> La transferencia a LA SAAAB se efectuará dentro de los primeros cinco (5) días hábiles de cada mes, acompañada de un informe detallado de ventas y consumos del mes anterior, soportado en las lecturas del macromedidor y en las facturas emitidas a los usuarios.</w:t>
      </w:r>
    </w:p>
    <w:p>
      <w:r>
        <w:rPr>
          <w:b/>
        </w:rPr>
        <w:t>5.4. Mora.</w:t>
      </w:r>
      <w:r>
        <w:t xml:space="preserve"> El saldo insoluto devengará intereses de mora a la tasa máxima legal desde el día siguiente al vencimiento hasta su cancelación.</w:t>
      </w:r>
    </w:p>
    <w:p>
      <w:r>
        <w:rPr>
          <w:b/>
        </w:rPr>
        <w:t>5.5. Control de medición.</w:t>
      </w:r>
      <w:r>
        <w:t xml:space="preserve"> El consumo se medirá por macromedidor en cada punto de acceso, con fines de control, conciliación y reporte. En caso de avería, el volumen se estimará con el promedio de los tres (3) meses anteriores, con ajuste en la liquidación siguiente.</w:t>
      </w:r>
    </w:p>
    <w:p>
      <w:r>
        <w:rPr>
          <w:b/>
        </w:rPr>
        <w:t>5.6. Descuento por mantenimiento autorizado.</w:t>
      </w:r>
      <w:r>
        <w:t xml:space="preserve"> Los costos en que EL CONTRATISTA incurra por mantenimiento de infraestructura de responsabilidad de LA SAAAB, que cumplan los requisitos del Mantenimiento Autorizado, podrán descontarse de la transferencia mensual subsiguiente, previa presentación de soportes dentro de los diez (10) días siguientes a la ejecución. LA SAAAB tendrá diez (10) días hábiles para objetar fundadamente; vencido el término sin objeción, el descuento se entenderá aceptado.</w:t>
      </w:r>
    </w:p>
    <w:p>
      <w:r>
        <w:rPr>
          <w:b/>
        </w:rPr>
        <w:t>5.7. Moneda.</w:t>
      </w:r>
      <w:r>
        <w:t xml:space="preserve"> Cuando las ventas a las motonaves se pacten en dólares de los Estados Unidos, la liquidación de la participación de LA SAAAB se efectuará en pesos colombianos, aplicando la Tasa Representativa del Mercado (TRM) vigente a la fecha de facturación al usuario.</w:t>
      </w:r>
    </w:p>
    <w:p>
      <w:pPr>
        <w:pStyle w:val="Heading2"/>
      </w:pPr>
      <w:r>
        <w:t>CLÁUSULA SEXTA. – REHABILITACIÓN, INVERSIÓN Y PROPIEDAD DE LAS OBRAS</w:t>
      </w:r>
    </w:p>
    <w:p>
      <w:r>
        <w:rPr>
          <w:b/>
        </w:rPr>
        <w:t>6.1.</w:t>
      </w:r>
      <w:r>
        <w:t xml:space="preserve"> EL CONTRATISTA ejecutará la rehabilitación conforme al presupuesto de referencia y al cronograma que se apruebe en el Acta de Inicio, y presentará el plan de reposición de tubería para aprobación de LA SAAAB.</w:t>
      </w:r>
    </w:p>
    <w:p>
      <w:r>
        <w:rPr>
          <w:b/>
        </w:rPr>
        <w:t>6.2.</w:t>
      </w:r>
      <w:r>
        <w:t xml:space="preserve"> Las obras, mejoras y reposiciones que se ejecuten </w:t>
      </w:r>
      <w:r>
        <w:rPr>
          <w:b/>
        </w:rPr>
        <w:t>sobre las redes e infraestructura de propiedad de LA SAAAB</w:t>
      </w:r>
      <w:r>
        <w:t xml:space="preserve"> (aguas arriba del punto de entrega) </w:t>
      </w:r>
      <w:r>
        <w:rPr>
          <w:b/>
        </w:rPr>
        <w:t>acceden a la propiedad de LA SAAAB</w:t>
      </w:r>
      <w:r>
        <w:t>, sin que ello genere derecho a reembolso distinto del esquema de recuperación previsto en la Cláusula Quinta.</w:t>
      </w:r>
    </w:p>
    <w:p>
      <w:r>
        <w:rPr>
          <w:b/>
        </w:rPr>
        <w:t>6.3.</w:t>
      </w:r>
      <w:r>
        <w:t xml:space="preserve"> Los equipos, mangueras, conexiones, sistemas de bombeo y demás bienes muebles que EL CONTRATISTA instale aguas abajo del punto de entrega serán de su propiedad y podrá retirarlos al término del contrato, dentro de los treinta (30) días calendario siguientes, salvo acuerdo en contrario. Los bienes no retirados quedarán en beneficio de LA SAAAB sin contraprestación.</w:t>
      </w:r>
    </w:p>
    <w:p>
      <w:pPr>
        <w:pStyle w:val="Heading2"/>
      </w:pPr>
      <w:r>
        <w:t>CLÁUSULA SÉPTIMA. – EXCLUSIVIDAD</w:t>
      </w:r>
    </w:p>
    <w:p>
      <w:r>
        <w:rPr>
          <w:b/>
        </w:rPr>
        <w:t>7.1.</w:t>
      </w:r>
      <w:r>
        <w:t xml:space="preserve"> LA SAAAB otorga a EL CONTRATISTA exclusividad para la comercialización y suministro de agua potable a las motonaves que atraquen en los muelles objeto del contrato durante su vigencia, obligándose a no suministrar directamente ni a través de terceros distintos a EL CONTRATISTA agua para consumo de motonaves en dichas instalaciones.</w:t>
      </w:r>
    </w:p>
    <w:p>
      <w:r>
        <w:rPr>
          <w:b/>
        </w:rPr>
        <w:t>7.2.</w:t>
      </w:r>
      <w:r>
        <w:t xml:space="preserve"> La exclusividad no restringe la facultad de LA SAAAB de prestar el servicio público domiciliario de acueducto a usuarios del Distrito, ni de celebrar contratos de suministro en bloque para fines distintos al suministro a motonaves en los muelles objeto de este contrato.</w:t>
      </w:r>
    </w:p>
    <w:p>
      <w:r>
        <w:rPr>
          <w:b/>
        </w:rPr>
        <w:t>7.3.</w:t>
      </w:r>
      <w:r>
        <w:t xml:space="preserve"> En contraprestación, EL CONTRATISTA mantendrá disponibilidad operativa permanente para el suministro a las motonaves.</w:t>
      </w:r>
    </w:p>
    <w:p>
      <w:pPr>
        <w:pStyle w:val="Heading2"/>
      </w:pPr>
      <w:r>
        <w:t>CLÁUSULA OCTAVA. – PUNTO DE ENTREGA Y CONDICIONES TÉCNICAS</w:t>
      </w:r>
    </w:p>
    <w:p>
      <w:r>
        <w:rPr>
          <w:b/>
        </w:rPr>
        <w:t>8.1.</w:t>
      </w:r>
      <w:r>
        <w:t xml:space="preserve"> El agua se entregará en el(los) punto(s) de acceso definidos en las Actas de Inicio o de Ampliación. A partir del punto de entrega, EL CONTRATISTA asume la responsabilidad de operación, distribución y comercialización.</w:t>
      </w:r>
    </w:p>
    <w:p>
      <w:r>
        <w:rPr>
          <w:b/>
        </w:rPr>
        <w:t>8.2.</w:t>
      </w:r>
      <w:r>
        <w:t xml:space="preserve"> LA SAAAB garantizará la disponibilidad del agua en bloque, con continuidad y presión adecuadas y con los parámetros de la Resolución 2115 de 2007, salvo caso fortuito, fuerza mayor o mantenimientos programados notificados con al menos 72 horas de antelación.</w:t>
      </w:r>
    </w:p>
    <w:p>
      <w:r>
        <w:rPr>
          <w:b/>
        </w:rPr>
        <w:t>8.3.</w:t>
      </w:r>
      <w:r>
        <w:t xml:space="preserve"> EL CONTRATISTA garantizará el suministro continuo a las motonaves las 24 horas, los 7 días de la semana, y mantendrá operativa su infraestructura aguas abajo del punto de entrega.</w:t>
      </w:r>
    </w:p>
    <w:p>
      <w:pPr>
        <w:pStyle w:val="Heading2"/>
      </w:pPr>
      <w:r>
        <w:t>CLÁUSULA NOVENA. – EXPANSIÓN COMERCIAL (OPCIONAL)</w:t>
      </w:r>
    </w:p>
    <w:p>
      <w:r>
        <w:t>[NOTA: cláusula opcional; conservada del contrato anterior. Evaluar si se mantiene en este modelo.]</w:t>
      </w:r>
    </w:p>
    <w:p>
      <w:r>
        <w:t>Se autoriza a EL CONTRATISTA a extender la comercialización del agua adquirida hacia motonaves o usuarios en otras ciudades o en el exterior, siempre que: (i) cuente con todas las autorizaciones ambientales, sanitarias y regulatorias del destino; (ii) no afecte la disponibilidad ni la calidad del suministro en el Distrito; y (iii) notifique a LA SAAAB con no menos de treinta (30) días de antelación. LA SAAAB podrá objetar fundadamente dentro de los veinte (20) días siguientes únicamente cuando se acredite afectación técnica a la disponibilidad en el Distrito. EL CONTRATISTA asume todas las responsabilidades derivadas de estas operaciones e indemnizará a LA SAAAB por reclamaciones de terceros.</w:t>
      </w:r>
    </w:p>
    <w:p>
      <w:pPr>
        <w:pStyle w:val="Heading2"/>
      </w:pPr>
      <w:r>
        <w:t>CLÁUSULA DÉCIMA. – SUBCONTRATACIÓN</w:t>
      </w:r>
    </w:p>
    <w:p>
      <w:r>
        <w:rPr>
          <w:b/>
        </w:rPr>
        <w:t>10.1.</w:t>
      </w:r>
      <w:r>
        <w:t xml:space="preserve"> EL CONTRATISTA podrá subcontratar operaciones específicas (mantenimiento, logística, distribución a bordo) con terceros idóneos, manteniendo responsabilidad directa, total e indivisible frente a LA SAAAB por sus subcontratistas.</w:t>
      </w:r>
    </w:p>
    <w:p>
      <w:r>
        <w:rPr>
          <w:b/>
        </w:rPr>
        <w:t>10.2.</w:t>
      </w:r>
      <w:r>
        <w:t xml:space="preserve"> Notificará cada subcontrato a LA SAAAB dentro de los quince (15) días calendario siguientes, indicando identidad, NIT, actividades, valor y plazo. LA SAAAB podrá formular observaciones fundadas dentro de los diez (10) días hábiles siguientes por conflicto de interés o sanción del subcontratista.</w:t>
      </w:r>
    </w:p>
    <w:p>
      <w:r>
        <w:rPr>
          <w:b/>
        </w:rPr>
        <w:t>10.3.</w:t>
      </w:r>
      <w:r>
        <w:t xml:space="preserve"> No podrá subcontratar la totalidad del objeto ni ceder el contrato sin consentimiento previo y escrito de LA SAAAB. La cesión no autorizada será causal de terminación.</w:t>
      </w:r>
    </w:p>
    <w:p>
      <w:pPr>
        <w:pStyle w:val="Heading2"/>
      </w:pPr>
      <w:r>
        <w:t>CLÁUSULA UNDÉCIMA. – ABASTECIMIENTO ALTERNATIVO</w:t>
      </w:r>
    </w:p>
    <w:p>
      <w:r>
        <w:rPr>
          <w:b/>
        </w:rPr>
        <w:t>11.1.</w:t>
      </w:r>
      <w:r>
        <w:t xml:space="preserve"> EL CONTRATISTA se abastecerá de agua potable exclusivamente de LA SAAAB para el suministro a motonaves en los muelles objeto del contrato.</w:t>
      </w:r>
    </w:p>
    <w:p>
      <w:r>
        <w:rPr>
          <w:b/>
        </w:rPr>
        <w:t>11.2.</w:t>
      </w:r>
      <w:r>
        <w:t xml:space="preserve"> Excepcionalmente podrá acudir a otras fuentes cuando: (a) LA SAAAB comunique la falta de disponibilidad; o (b) se produzca una interrupción efectiva superior a dos (2) horas continuas sin comunicación previa.</w:t>
      </w:r>
    </w:p>
    <w:p>
      <w:r>
        <w:rPr>
          <w:b/>
        </w:rPr>
        <w:t>11.3.</w:t>
      </w:r>
      <w:r>
        <w:t xml:space="preserve"> Restablecido el suministro, EL CONTRATISTA retornará al abastecimiento exclusivo de LA SAAAB dentro de las veinticuatro (24) horas.</w:t>
      </w:r>
    </w:p>
    <w:p>
      <w:r>
        <w:rPr>
          <w:b/>
        </w:rPr>
        <w:t>11.4.</w:t>
      </w:r>
      <w:r>
        <w:t xml:space="preserve"> El abastecimiento alternativo no exonera a LA SAAAB del régimen de sanciones cuando la interrupción le sea imputable.</w:t>
      </w:r>
    </w:p>
    <w:p>
      <w:r>
        <w:rPr>
          <w:b/>
        </w:rPr>
        <w:t>11.5.</w:t>
      </w:r>
      <w:r>
        <w:t xml:space="preserve"> EL CONTRATISTA comunicará el inicio del abastecimiento alternativo dentro de las seis (6) horas siguientes, indicando fuente y volumen estimado.</w:t>
      </w:r>
    </w:p>
    <w:p>
      <w:pPr>
        <w:pStyle w:val="Heading2"/>
      </w:pPr>
      <w:r>
        <w:t>CLÁUSULA DUODÉCIMA. – OBLIGACIONES DE LAS PARTES</w:t>
      </w:r>
    </w:p>
    <w:p>
      <w:r>
        <w:rPr>
          <w:b/>
        </w:rPr>
        <w:t>12.1. Obligaciones de LA SAAAB:</w:t>
      </w:r>
    </w:p>
    <w:p>
      <w:r>
        <w:t>(a) Facilitar el acceso a la infraestructura y entregar inventario y estado de las redes de los muelles 1 al 15 de SPRB y Grupo Portuario.</w:t>
      </w:r>
    </w:p>
    <w:p>
      <w:r>
        <w:t>(b) Garantizar la disponibilidad del agua en bloque, con continuidad y presión, aguas arriba del punto de entrega.</w:t>
      </w:r>
    </w:p>
    <w:p>
      <w:r>
        <w:t>(c) Instalar, calibrar y mantener el macromedidor en cada punto de acceso.</w:t>
      </w:r>
    </w:p>
    <w:p>
      <w:r>
        <w:t>(d) Designar supervisor, recibir y verificar los pagos y la participación mensual, y aprobar las garantías.</w:t>
      </w:r>
    </w:p>
    <w:p>
      <w:r>
        <w:t>(e) Emitir las autorizaciones necesarias para la operación y cooperar en las gestiones ante autoridades.</w:t>
      </w:r>
    </w:p>
    <w:p>
      <w:r>
        <w:t>(f) Mantener vigentes el registro RUPS y la inscripción tarifaria ante la CRA.</w:t>
      </w:r>
    </w:p>
    <w:p>
      <w:r>
        <w:t>(g) Permitir el acceso de EL CONTRATISTA a los registros de calidad del agua.</w:t>
      </w:r>
    </w:p>
    <w:p>
      <w:r>
        <w:t>(h) Resolver en máximo treinta (30) días calendario las solicitudes de ampliación de cobertura o nuevos puntos de acceso.</w:t>
      </w:r>
    </w:p>
    <w:p>
      <w:r>
        <w:rPr>
          <w:b/>
        </w:rPr>
        <w:t>12.2. Obligaciones de EL CONTRATISTA:</w:t>
      </w:r>
    </w:p>
    <w:p>
      <w:r>
        <w:t>(a) Ejecutar la rehabilitación, operación, mantenimiento, reposición y optimización de las redes objeto del contrato, garantizando eficiencia y calidad.</w:t>
      </w:r>
    </w:p>
    <w:p>
      <w:r>
        <w:t>(b) Presentar para aprobación el plan de reposición de tubería.</w:t>
      </w:r>
    </w:p>
    <w:p>
      <w:r>
        <w:t>(c) Comercializar y suministrar agua a las motonaves las 24 horas, los 7 días de la semana, en coordinación con las navieras.</w:t>
      </w:r>
    </w:p>
    <w:p>
      <w:r>
        <w:t>(d) Transferir oportunamente a LA SAAAB la participación pactada sobre las ventas brutas.</w:t>
      </w:r>
    </w:p>
    <w:p>
      <w:r>
        <w:t>(e) Presentar a LA SAAAB, dentro de los primeros cinco (5) días de cada mes, informe de operación, mantenimiento, volúmenes y ventas por terminal, identificando embarcación, fecha, volumen y valor.</w:t>
      </w:r>
    </w:p>
    <w:p>
      <w:r>
        <w:t>(f) Constituir y mantener vigentes las garantías de la Cláusula Décima Tercera.</w:t>
      </w:r>
    </w:p>
    <w:p>
      <w:r>
        <w:t>(g) Mantener vigente el Registro de Operador Portuario y gestionar la renovación de los permisos de ingreso a SPRB, Grupo Portuario y muelle Compas por cada operación.</w:t>
      </w:r>
    </w:p>
    <w:p>
      <w:r>
        <w:t>(h) Cumplir las normas técnicas, ambientales y de seguridad portuaria, y los requisitos sanitarios aplicables.</w:t>
      </w:r>
    </w:p>
    <w:p>
      <w:r>
        <w:t>(i) Permitir a LA SAAAB las lecturas del macromedidor e inspecciones técnicas.</w:t>
      </w:r>
    </w:p>
    <w:p>
      <w:r>
        <w:t>(j) Abstenerse de conectar a las redes de LA SAAAB infraestructura o usuarios no autorizados.</w:t>
      </w:r>
    </w:p>
    <w:p>
      <w:r>
        <w:t>(k) Responder por los daños ocasionados por negligencia o incumplimiento.</w:t>
      </w:r>
    </w:p>
    <w:p>
      <w:pPr>
        <w:pStyle w:val="Heading2"/>
      </w:pPr>
      <w:r>
        <w:t>CLÁUSULA DÉCIMA TERCERA. – GARANTÍAS</w:t>
      </w:r>
    </w:p>
    <w:p>
      <w:r>
        <w:t>EL CONTRATISTA constituirá, a favor de LA SAAAB, garantía única expedida por aseguradora autorizada en Colombia, con los siguientes amparos. Por tratarse de un contrato de cuantía indeterminada, los amparos porcentuales se calcularán sobre el valor estimado de las ventas anuales proyectadas en el Anexo Financiero: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Amparo</w:t>
            </w:r>
          </w:p>
        </w:tc>
        <w:tc>
          <w:tcPr>
            <w:tcW w:type="dxa" w:w="2880"/>
          </w:tcPr>
          <w:p>
            <w:r>
              <w:rPr>
                <w:b/>
              </w:rPr>
              <w:t>Porcentaje / valor asegurado</w:t>
            </w:r>
          </w:p>
        </w:tc>
        <w:tc>
          <w:tcPr>
            <w:tcW w:type="dxa" w:w="2880"/>
          </w:tcPr>
          <w:p>
            <w:r>
              <w:rPr>
                <w:b/>
              </w:rPr>
              <w:t>Vigencia</w:t>
            </w:r>
          </w:p>
        </w:tc>
      </w:tr>
      <w:tr>
        <w:tc>
          <w:tcPr>
            <w:tcW w:type="dxa" w:w="2880"/>
          </w:tcPr>
          <w:p>
            <w:r>
              <w:t>Cumplimiento del contrato</w:t>
            </w:r>
          </w:p>
        </w:tc>
        <w:tc>
          <w:tcPr>
            <w:tcW w:type="dxa" w:w="2880"/>
          </w:tcPr>
          <w:p>
            <w:r>
              <w:t>20%</w:t>
            </w:r>
          </w:p>
        </w:tc>
        <w:tc>
          <w:tcPr>
            <w:tcW w:type="dxa" w:w="2880"/>
          </w:tcPr>
          <w:p>
            <w:r>
              <w:t>Plazo del contrato y seis (6) meses más</w:t>
            </w:r>
          </w:p>
        </w:tc>
      </w:tr>
      <w:tr>
        <w:tc>
          <w:tcPr>
            <w:tcW w:type="dxa" w:w="2880"/>
          </w:tcPr>
          <w:p>
            <w:r>
              <w:t>Calidad del servicio</w:t>
            </w:r>
          </w:p>
        </w:tc>
        <w:tc>
          <w:tcPr>
            <w:tcW w:type="dxa" w:w="2880"/>
          </w:tcPr>
          <w:p>
            <w:r>
              <w:t>10%</w:t>
            </w:r>
          </w:p>
        </w:tc>
        <w:tc>
          <w:tcPr>
            <w:tcW w:type="dxa" w:w="2880"/>
          </w:tcPr>
          <w:p>
            <w:r>
              <w:t>Plazo del contrato y seis (6) meses más</w:t>
            </w:r>
          </w:p>
        </w:tc>
      </w:tr>
      <w:tr>
        <w:tc>
          <w:tcPr>
            <w:tcW w:type="dxa" w:w="2880"/>
          </w:tcPr>
          <w:p>
            <w:r>
              <w:t>Pago de salarios, prestaciones sociales e indemnizaciones</w:t>
            </w:r>
          </w:p>
        </w:tc>
        <w:tc>
          <w:tcPr>
            <w:tcW w:type="dxa" w:w="2880"/>
          </w:tcPr>
          <w:p>
            <w:r>
              <w:t>5%</w:t>
            </w:r>
          </w:p>
        </w:tc>
        <w:tc>
          <w:tcPr>
            <w:tcW w:type="dxa" w:w="2880"/>
          </w:tcPr>
          <w:p>
            <w:r>
              <w:t>Plazo del contrato y tres (3) años más</w:t>
            </w:r>
          </w:p>
        </w:tc>
      </w:tr>
      <w:tr>
        <w:tc>
          <w:tcPr>
            <w:tcW w:type="dxa" w:w="2880"/>
          </w:tcPr>
          <w:p>
            <w:r>
              <w:t>Responsabilidad civil extracontractual</w:t>
            </w:r>
          </w:p>
        </w:tc>
        <w:tc>
          <w:tcPr>
            <w:tcW w:type="dxa" w:w="2880"/>
          </w:tcPr>
          <w:p>
            <w:r>
              <w:t>300 SMMLV</w:t>
            </w:r>
          </w:p>
        </w:tc>
        <w:tc>
          <w:tcPr>
            <w:tcW w:type="dxa" w:w="2880"/>
          </w:tcPr>
          <w:p>
            <w:r>
              <w:t>Plazo del contrato y seis (6) meses más</w:t>
            </w:r>
          </w:p>
        </w:tc>
      </w:tr>
    </w:tbl>
    <w:p/>
    <w:p>
      <w:r>
        <w:t>Las pólizas se entregarán dentro de los quince (15) días siguientes a la suscripción y se renovarán antes de su vencimiento. LA SAAAB quedará como asegurada/beneficiaria.</w:t>
      </w:r>
    </w:p>
    <w:p>
      <w:pPr>
        <w:pStyle w:val="Heading2"/>
      </w:pPr>
      <w:r>
        <w:t>CLÁUSULA DÉCIMA CUARTA. – MEDICIÓN, FACTURACIÓN Y REPORTES</w:t>
      </w:r>
    </w:p>
    <w:p>
      <w:r>
        <w:rPr>
          <w:b/>
        </w:rPr>
        <w:t>14.1.</w:t>
      </w:r>
      <w:r>
        <w:t xml:space="preserve"> La medición se realizará mediante macromedidor en cada punto de acceso, instalado, calibrado y mantenido por LA SAAAB. EL CONTRATISTA podrá solicitar verificación independiente.</w:t>
      </w:r>
    </w:p>
    <w:p>
      <w:r>
        <w:rPr>
          <w:b/>
        </w:rPr>
        <w:t>14.2.</w:t>
      </w:r>
      <w:r>
        <w:t xml:space="preserve"> Las lecturas se realizarán el último día hábil de cada mes; cualquiera de las partes podrá solicitar lecturas adicionales con presencia de ambas.</w:t>
      </w:r>
    </w:p>
    <w:p>
      <w:r>
        <w:rPr>
          <w:b/>
        </w:rPr>
        <w:t>14.3.</w:t>
      </w:r>
      <w:r>
        <w:t xml:space="preserve"> En caso de avería, el consumo se estimará con el promedio de los tres (3) meses anteriores.</w:t>
      </w:r>
    </w:p>
    <w:p>
      <w:pPr>
        <w:pStyle w:val="Heading2"/>
      </w:pPr>
      <w:r>
        <w:t>CLÁUSULA DÉCIMA QUINTA. – CALIDAD DEL AGUA</w:t>
      </w:r>
    </w:p>
    <w:p>
      <w:r>
        <w:t>El agua suministrada cumplirá la Resolución 2115 de 2007 en el punto de entrega. LA SAAAB entregará trimestralmente los resultados de los análisis fisicoquímico y microbiológico por punto de acceso. Cuando el incumplimiento de calidad sea imputable a LA SAAAB, EL CONTRATISTA quedará exonerado de la participación correspondiente por el período acreditado, sin perjuicio de las sanciones aplicables.</w:t>
      </w:r>
    </w:p>
    <w:p>
      <w:pPr>
        <w:pStyle w:val="Heading2"/>
      </w:pPr>
      <w:r>
        <w:t>CLÁUSULA DÉCIMA SEXTA. – INFRAESTRUCTURA Y MANTENIMIENTO</w:t>
      </w:r>
    </w:p>
    <w:p>
      <w:r>
        <w:rPr>
          <w:b/>
        </w:rPr>
        <w:t>16.1.</w:t>
      </w:r>
      <w:r>
        <w:t xml:space="preserve"> Corresponde a LA SAAAB la propiedad de las redes matrices e infraestructura aguas arriba del punto de entrega, incluido el macromedidor.</w:t>
      </w:r>
    </w:p>
    <w:p>
      <w:r>
        <w:rPr>
          <w:b/>
        </w:rPr>
        <w:t>16.2.</w:t>
      </w:r>
      <w:r>
        <w:t xml:space="preserve"> Corresponde a EL CONTRATISTA la operación, mantenimiento y reposición de las redes objeto del contrato y de los equipos aguas abajo del punto de entrega.</w:t>
      </w:r>
    </w:p>
    <w:p>
      <w:r>
        <w:rPr>
          <w:b/>
        </w:rPr>
        <w:t>16.3.</w:t>
      </w:r>
      <w:r>
        <w:t xml:space="preserve"> Aplica el descuento por mantenimiento autorizado en los términos del numeral 5.6.</w:t>
      </w:r>
    </w:p>
    <w:p>
      <w:pPr>
        <w:pStyle w:val="Heading2"/>
      </w:pPr>
      <w:r>
        <w:t>CLÁUSULA DÉCIMA SÉPTIMA. – SUPERVISIÓN E INTERVENTORÍA</w:t>
      </w:r>
    </w:p>
    <w:p>
      <w:r>
        <w:rPr>
          <w:b/>
        </w:rPr>
        <w:t>17.1.</w:t>
      </w:r>
      <w:r>
        <w:t xml:space="preserve"> LA SAAAB ejercerá la supervisión del contrato a través del servidor o dependencia que designe, con facultades de vigilancia, solicitud de informes y suscripción de actas.</w:t>
      </w:r>
    </w:p>
    <w:p>
      <w:r>
        <w:rPr>
          <w:b/>
        </w:rPr>
        <w:t>17.2.</w:t>
      </w:r>
      <w:r>
        <w:t xml:space="preserve"> Para la fase de rehabilitación, LA SAAAB podrá contratar interventoría técnica independiente, cuyo costo se asumirá conforme se acuerde entre las partes.</w:t>
      </w:r>
    </w:p>
    <w:p>
      <w:pPr>
        <w:pStyle w:val="Heading2"/>
      </w:pPr>
      <w:r>
        <w:t>CLÁUSULA DÉCIMA OCTAVA. – RÉGIMEN DE SANCIONES Y MULTAS</w:t>
      </w:r>
    </w:p>
    <w:p>
      <w:r>
        <w:rPr>
          <w:b/>
        </w:rPr>
        <w:t>SECCIÓN A – Sanciones a LA SAAAB por indisponibilidad imputable</w:t>
      </w:r>
      <w:r>
        <w:t xml:space="preserve"> (excluyendo caso fortuito, fuerza mayor y mantenimientos notificados con 72 horas):</w:t>
      </w:r>
    </w:p>
    <w:tbl>
      <w:tblPr>
        <w:tblStyle w:val="LightGrid-Accent1"/>
        <w:tblW w:type="auto" w:w="0"/>
        <w:tblLook w:firstColumn="1" w:firstRow="1" w:lastColumn="0" w:lastRow="0" w:noHBand="0" w:noVBand="1" w:val="04A0"/>
      </w:tblPr>
      <w:tblGrid>
        <w:gridCol w:w="4320"/>
        <w:gridCol w:w="4320"/>
      </w:tblGrid>
      <w:tr>
        <w:tc>
          <w:tcPr>
            <w:tcW w:type="dxa" w:w="4320"/>
          </w:tcPr>
          <w:p>
            <w:r>
              <w:rPr>
                <w:b/>
              </w:rPr>
              <w:t>Duración de la interrupción imputable a LA SAAAB</w:t>
            </w:r>
          </w:p>
        </w:tc>
        <w:tc>
          <w:tcPr>
            <w:tcW w:type="dxa" w:w="4320"/>
          </w:tcPr>
          <w:p>
            <w:r>
              <w:rPr>
                <w:b/>
              </w:rPr>
              <w:t>Sanción (SMMLV)</w:t>
            </w:r>
          </w:p>
        </w:tc>
      </w:tr>
      <w:tr>
        <w:tc>
          <w:tcPr>
            <w:tcW w:type="dxa" w:w="4320"/>
          </w:tcPr>
          <w:p>
            <w:r>
              <w:t>Entre 2 y 6 horas continuas</w:t>
            </w:r>
          </w:p>
        </w:tc>
        <w:tc>
          <w:tcPr>
            <w:tcW w:type="dxa" w:w="4320"/>
          </w:tcPr>
          <w:p>
            <w:r>
              <w:t>2</w:t>
            </w:r>
          </w:p>
        </w:tc>
      </w:tr>
      <w:tr>
        <w:tc>
          <w:tcPr>
            <w:tcW w:type="dxa" w:w="4320"/>
          </w:tcPr>
          <w:p>
            <w:r>
              <w:t>Entre 6 y 12 horas continuas</w:t>
            </w:r>
          </w:p>
        </w:tc>
        <w:tc>
          <w:tcPr>
            <w:tcW w:type="dxa" w:w="4320"/>
          </w:tcPr>
          <w:p>
            <w:r>
              <w:t>5</w:t>
            </w:r>
          </w:p>
        </w:tc>
      </w:tr>
      <w:tr>
        <w:tc>
          <w:tcPr>
            <w:tcW w:type="dxa" w:w="4320"/>
          </w:tcPr>
          <w:p>
            <w:r>
              <w:t>Entre 12 y 24 horas continuas</w:t>
            </w:r>
          </w:p>
        </w:tc>
        <w:tc>
          <w:tcPr>
            <w:tcW w:type="dxa" w:w="4320"/>
          </w:tcPr>
          <w:p>
            <w:r>
              <w:t>10</w:t>
            </w:r>
          </w:p>
        </w:tc>
      </w:tr>
      <w:tr>
        <w:tc>
          <w:tcPr>
            <w:tcW w:type="dxa" w:w="4320"/>
          </w:tcPr>
          <w:p>
            <w:r>
              <w:t>Entre 24 y 48 horas continuas</w:t>
            </w:r>
          </w:p>
        </w:tc>
        <w:tc>
          <w:tcPr>
            <w:tcW w:type="dxa" w:w="4320"/>
          </w:tcPr>
          <w:p>
            <w:r>
              <w:t>20</w:t>
            </w:r>
          </w:p>
        </w:tc>
      </w:tr>
      <w:tr>
        <w:tc>
          <w:tcPr>
            <w:tcW w:type="dxa" w:w="4320"/>
          </w:tcPr>
          <w:p>
            <w:r>
              <w:t>Más de 48 horas continuas</w:t>
            </w:r>
          </w:p>
        </w:tc>
        <w:tc>
          <w:tcPr>
            <w:tcW w:type="dxa" w:w="4320"/>
          </w:tcPr>
          <w:p>
            <w:r>
              <w:t>40 + derecho a terminación por EL CONTRATISTA</w:t>
            </w:r>
          </w:p>
        </w:tc>
      </w:tr>
    </w:tbl>
    <w:p/>
    <w:p>
      <w:r>
        <w:t>Tope anual: ciento veinte (120) SMMLV. Una misma interrupción continua será un solo evento (tramo más alto alcanzado).</w:t>
      </w:r>
    </w:p>
    <w:p>
      <w:r>
        <w:rPr>
          <w:b/>
        </w:rPr>
        <w:t>SECCIÓN B – Sanciones a EL CONTRATISTA</w:t>
      </w:r>
      <w:r>
        <w:t xml:space="preserve"> (previa comunicación escrita y cinco (5) días hábiles de defensa):</w:t>
      </w:r>
    </w:p>
    <w:tbl>
      <w:tblPr>
        <w:tblStyle w:val="LightGrid-Accent1"/>
        <w:tblW w:type="auto" w:w="0"/>
        <w:tblLook w:firstColumn="1" w:firstRow="1" w:lastColumn="0" w:lastRow="0" w:noHBand="0" w:noVBand="1" w:val="04A0"/>
      </w:tblPr>
      <w:tblGrid>
        <w:gridCol w:w="4320"/>
        <w:gridCol w:w="4320"/>
      </w:tblGrid>
      <w:tr>
        <w:tc>
          <w:tcPr>
            <w:tcW w:type="dxa" w:w="4320"/>
          </w:tcPr>
          <w:p>
            <w:r>
              <w:rPr>
                <w:b/>
              </w:rPr>
              <w:t>Incumplimiento de EL CONTRATISTA</w:t>
            </w:r>
          </w:p>
        </w:tc>
        <w:tc>
          <w:tcPr>
            <w:tcW w:type="dxa" w:w="4320"/>
          </w:tcPr>
          <w:p>
            <w:r>
              <w:rPr>
                <w:b/>
              </w:rPr>
              <w:t>Sanción (SMMLV)</w:t>
            </w:r>
          </w:p>
        </w:tc>
      </w:tr>
      <w:tr>
        <w:tc>
          <w:tcPr>
            <w:tcW w:type="dxa" w:w="4320"/>
          </w:tcPr>
          <w:p>
            <w:r>
              <w:t>Mora en la transferencia entre 16 y 30 días (adicional a intereses)</w:t>
            </w:r>
          </w:p>
        </w:tc>
        <w:tc>
          <w:tcPr>
            <w:tcW w:type="dxa" w:w="4320"/>
          </w:tcPr>
          <w:p>
            <w:r>
              <w:t>1 por mes en mora</w:t>
            </w:r>
          </w:p>
        </w:tc>
      </w:tr>
      <w:tr>
        <w:tc>
          <w:tcPr>
            <w:tcW w:type="dxa" w:w="4320"/>
          </w:tcPr>
          <w:p>
            <w:r>
              <w:t>Mora en la transferencia superior a 30 días (adicional a intereses)</w:t>
            </w:r>
          </w:p>
        </w:tc>
        <w:tc>
          <w:tcPr>
            <w:tcW w:type="dxa" w:w="4320"/>
          </w:tcPr>
          <w:p>
            <w:r>
              <w:t>3 por mes en mora</w:t>
            </w:r>
          </w:p>
        </w:tc>
      </w:tr>
      <w:tr>
        <w:tc>
          <w:tcPr>
            <w:tcW w:type="dxa" w:w="4320"/>
          </w:tcPr>
          <w:p>
            <w:r>
              <w:t>Incumplimiento reiterado (3 o más veces/año) del reporte mensual</w:t>
            </w:r>
          </w:p>
        </w:tc>
        <w:tc>
          <w:tcPr>
            <w:tcW w:type="dxa" w:w="4320"/>
          </w:tcPr>
          <w:p>
            <w:r>
              <w:t>2 por reporte omitido</w:t>
            </w:r>
          </w:p>
        </w:tc>
      </w:tr>
      <w:tr>
        <w:tc>
          <w:tcPr>
            <w:tcW w:type="dxa" w:w="4320"/>
          </w:tcPr>
          <w:p>
            <w:r>
              <w:t>Abastecimiento de terceros sin acreditar indisponibilidad de LA SAAAB</w:t>
            </w:r>
          </w:p>
        </w:tc>
        <w:tc>
          <w:tcPr>
            <w:tcW w:type="dxa" w:w="4320"/>
          </w:tcPr>
          <w:p>
            <w:r>
              <w:t>5 por evento</w:t>
            </w:r>
          </w:p>
        </w:tc>
      </w:tr>
      <w:tr>
        <w:tc>
          <w:tcPr>
            <w:tcW w:type="dxa" w:w="4320"/>
          </w:tcPr>
          <w:p>
            <w:r>
              <w:t>Subcontratación no notificada conforme a la Cláusula Décima</w:t>
            </w:r>
          </w:p>
        </w:tc>
        <w:tc>
          <w:tcPr>
            <w:tcW w:type="dxa" w:w="4320"/>
          </w:tcPr>
          <w:p>
            <w:r>
              <w:t>3 por subcontrato</w:t>
            </w:r>
          </w:p>
        </w:tc>
      </w:tr>
      <w:tr>
        <w:tc>
          <w:tcPr>
            <w:tcW w:type="dxa" w:w="4320"/>
          </w:tcPr>
          <w:p>
            <w:r>
              <w:t>Interrupción del servicio a motonaves imputable a EL CONTRATISTA por más de 12 horas</w:t>
            </w:r>
          </w:p>
        </w:tc>
        <w:tc>
          <w:tcPr>
            <w:tcW w:type="dxa" w:w="4320"/>
          </w:tcPr>
          <w:p>
            <w:r>
              <w:t>5 por evento</w:t>
            </w:r>
          </w:p>
        </w:tc>
      </w:tr>
      <w:tr>
        <w:tc>
          <w:tcPr>
            <w:tcW w:type="dxa" w:w="4320"/>
          </w:tcPr>
          <w:p>
            <w:r>
              <w:t>Prestación con incumplimiento acreditado de calidad del agua</w:t>
            </w:r>
          </w:p>
        </w:tc>
        <w:tc>
          <w:tcPr>
            <w:tcW w:type="dxa" w:w="4320"/>
          </w:tcPr>
          <w:p>
            <w:r>
              <w:t>10 por evento</w:t>
            </w:r>
          </w:p>
        </w:tc>
      </w:tr>
      <w:tr>
        <w:tc>
          <w:tcPr>
            <w:tcW w:type="dxa" w:w="4320"/>
          </w:tcPr>
          <w:p>
            <w:r>
              <w:t>Incumplimiento del cronograma de rehabilitación aprobado</w:t>
            </w:r>
          </w:p>
        </w:tc>
        <w:tc>
          <w:tcPr>
            <w:tcW w:type="dxa" w:w="4320"/>
          </w:tcPr>
          <w:p>
            <w:r>
              <w:t>5 por cada mes de retraso</w:t>
            </w:r>
          </w:p>
        </w:tc>
      </w:tr>
    </w:tbl>
    <w:p/>
    <w:p>
      <w:r>
        <w:t>Tope anual: cien (100) SMMLV. El valor del SMMLV será el vigente a la fecha del evento. Las controversias sobre sanciones podrán llevarse al mecanismo de la Cláusula Vigésima Quinta, sin suspender la exigibilidad de las sanciones no controvertidas.</w:t>
      </w:r>
    </w:p>
    <w:p>
      <w:pPr>
        <w:pStyle w:val="Heading2"/>
      </w:pPr>
      <w:r>
        <w:t>CLÁUSULA DÉCIMA NOVENA. – EQUILIBRIO ECONÓMICO</w:t>
      </w:r>
    </w:p>
    <w:p>
      <w:r>
        <w:t>Las partes podrán solicitar la revisión del equilibrio económico ante: (a) cambios normativos o regulatorios generales no previsibles que alteren sustancialmente la ecuación económica; (b) variación extraordinaria de indicadores macroeconómicos que exceda en más del treinta por ciento (30%) las proyecciones del sector durante dos (2) semestres consecutivos; o (c) hechos sobrevinientes imprevisibles no constitutivos de fuerza mayor. La parte afectada notificará con sustento dentro de los treinta (30) días calendario siguientes al conocimiento del hecho; las partes negociarán de buena fe por sesenta (60) días calendario y, de no haber acuerdo, podrán acudir a la Cláusula Vigésima Quinta. La solicitud no suspende las obligaciones. No procede cuando el desequilibrio derive del riesgo normal del negocio o de causa imputable a quien reclama.</w:t>
      </w:r>
    </w:p>
    <w:p>
      <w:pPr>
        <w:pStyle w:val="Heading2"/>
      </w:pPr>
      <w:r>
        <w:t>CLÁUSULA VIGÉSIMA. – CAUSALES DE TERMINACIÓN</w:t>
      </w:r>
    </w:p>
    <w:p>
      <w:r>
        <w:rPr>
          <w:b/>
        </w:rPr>
        <w:t>20.1. Común acuerdo.</w:t>
      </w:r>
      <w:r>
        <w:t xml:space="preserve"> Mediante documento escrito de los representantes legales.</w:t>
      </w:r>
    </w:p>
    <w:p>
      <w:r>
        <w:rPr>
          <w:b/>
        </w:rPr>
        <w:t>20.2. Vencimiento del plazo</w:t>
      </w:r>
      <w:r>
        <w:t>, salvo prórroga.</w:t>
      </w:r>
    </w:p>
    <w:p>
      <w:r>
        <w:rPr>
          <w:b/>
        </w:rPr>
        <w:t>20.3. Incumplimiento grave de LA SAAAB:</w:t>
      </w:r>
      <w:r>
        <w:t xml:space="preserve"> (i) indisponibilidad superior a 48 horas continuas más de tres (3) veces en un año; (ii) incumplimiento de calidad por más de dos (2) períodos consecutivos sin corrección; (iii) violación de la exclusividad.</w:t>
      </w:r>
    </w:p>
    <w:p>
      <w:r>
        <w:rPr>
          <w:b/>
        </w:rPr>
        <w:t>20.4. Incumplimiento grave de EL CONTRATISTA:</w:t>
      </w:r>
      <w:r>
        <w:t xml:space="preserve"> (i) mora en la transferencia/pago superior a noventa (90) días; (ii) pérdida del Registro de Operador Portuario; (iii) cesión no autorizada; (iv) abastecimiento de terceros sin causa justificada en tres o más ocasiones en un año; (v) abandono o incumplimiento sustancial de la rehabilitación.</w:t>
      </w:r>
    </w:p>
    <w:p>
      <w:r>
        <w:rPr>
          <w:b/>
        </w:rPr>
        <w:t>20.5. Insolvencia o liquidación</w:t>
      </w:r>
      <w:r>
        <w:t xml:space="preserve"> que impida cumplir.</w:t>
      </w:r>
    </w:p>
    <w:p>
      <w:r>
        <w:rPr>
          <w:b/>
        </w:rPr>
        <w:t>20.6. Fuerza mayor permanente</w:t>
      </w:r>
      <w:r>
        <w:t xml:space="preserve"> por más de ciento ochenta (180) días continuos.</w:t>
      </w:r>
    </w:p>
    <w:p>
      <w:r>
        <w:rPr>
          <w:b/>
        </w:rPr>
        <w:t>20.7. Cambio regulatorio</w:t>
      </w:r>
      <w:r>
        <w:t xml:space="preserve"> que haga jurídicamente imposible la ejecución, previa declaratoria de autoridad competente.</w:t>
      </w:r>
    </w:p>
    <w:p>
      <w:r>
        <w:t>En los casos 20.3 a 20.6, la parte que invoque la causal notificará con no menos de treinta (30) días de antelación, indicando la causal y sus fundamentos; la parte notificada tendrá ese plazo para subsanar.</w:t>
      </w:r>
    </w:p>
    <w:p>
      <w:pPr>
        <w:pStyle w:val="Heading2"/>
      </w:pPr>
      <w:r>
        <w:t>CLÁUSULA VIGÉSIMA PRIMERA. – LIQUIDACIÓN</w:t>
      </w:r>
    </w:p>
    <w:p>
      <w:r>
        <w:t>Dentro de los treinta (30) días calendario siguientes a la terminación, las partes suscribirán el Acta de Liquidación, que contendrá: estado de pagos y transferencias; saldos a favor de cualquiera de las partes; relación de la infraestructura y obras ejecutadas; inventario de bienes a retirar; reclamaciones pendientes; y declaración de paz y salvo mutuo cuando proceda. A falta de acuerdo, se acudirá a la Cláusula Vigésima Quinta.</w:t>
      </w:r>
    </w:p>
    <w:p>
      <w:pPr>
        <w:pStyle w:val="Heading2"/>
      </w:pPr>
      <w:r>
        <w:t>CLÁUSULA VIGÉSIMA SEGUNDA. – CONFIDENCIALIDAD</w:t>
      </w:r>
    </w:p>
    <w:p>
      <w:r>
        <w:t>Las partes guardarán confidencialidad sobre la información técnica, comercial, financiera y operativa intercambiada, por cinco (5) años desde la terminación, salvo requerimiento de autoridad competente.</w:t>
      </w:r>
    </w:p>
    <w:p>
      <w:pPr>
        <w:pStyle w:val="Heading2"/>
      </w:pPr>
      <w:r>
        <w:t>CLÁUSULA VIGÉSIMA TERCERA. – PERMISOS</w:t>
      </w:r>
    </w:p>
    <w:p>
      <w:r>
        <w:t>EL CONTRATISTA gestionará y mantendrá vigentes los permisos de ingreso a la Sociedad Portuaria Regional de Buenaventura, Grupo Portuario y muelle Compas por cada operación, y mantendrá a disposición los pagos de aportes a seguridad social del personal involucrado.</w:t>
      </w:r>
    </w:p>
    <w:p>
      <w:pPr>
        <w:pStyle w:val="Heading2"/>
      </w:pPr>
      <w:r>
        <w:t>CLÁUSULA VIGÉSIMA CUARTA. – INHABILIDADES E INDEMNIDAD</w:t>
      </w:r>
    </w:p>
    <w:p>
      <w:r>
        <w:rPr>
          <w:b/>
        </w:rPr>
        <w:t>24.1.</w:t>
      </w:r>
      <w:r>
        <w:t xml:space="preserve"> EL CONTRATISTA declara, bajo la gravedad del juramento, no encontrarse incurso en causal alguna de inhabilidad o incompatibilidad para contratar conforme a la ley aplicable y, en lo pertinente, a los artículos 8 y 9 de la Ley 80 de 1993.</w:t>
      </w:r>
    </w:p>
    <w:p>
      <w:r>
        <w:rPr>
          <w:b/>
        </w:rPr>
        <w:t>24.2.</w:t>
      </w:r>
      <w:r>
        <w:t xml:space="preserve"> Cada parte mantendrá indemne a la otra frente a reclamaciones, demandas, daños o perjuicios por actos u omisiones imputables exclusivamente a quien genera el evento dañoso, incluidos los derivados del suministro aguas abajo del punto de entrega para EL CONTRATISTA y los derivados de deficiencias aguas arriba para LA SAAAB.</w:t>
      </w:r>
    </w:p>
    <w:p>
      <w:pPr>
        <w:pStyle w:val="Heading2"/>
      </w:pPr>
      <w:r>
        <w:t>CLÁUSULA VIGÉSIMA QUINTA. – CLÁUSULA COMPROMISORIA</w:t>
      </w:r>
    </w:p>
    <w:p>
      <w:r>
        <w:t>Las controversias que no se resuelvan directamente mediante negociación de buena fe en un término no mayor a treinta (30) días calendario se someterán a un Tribunal de Arbitramento: (a) Sede: Centro de Arbitraje y Conciliación de la Cámara de Comercio de Santiago de Cali, ciudad de Cali, Valle del Cauca; (b) Árbitros: tres (3), designados de la lista del Centro conforme a su reglamento; (c) Fallo en Derecho; (d) Procedimiento: Ley 1563 de 2012 y el reglamento del Centro; (e) el laudo será definitivo, inapelable y obligatorio; (f) los costos se asumirán conforme lo determine el Tribunal.</w:t>
      </w:r>
    </w:p>
    <w:p>
      <w:pPr>
        <w:pStyle w:val="Heading2"/>
      </w:pPr>
      <w:r>
        <w:t>CLÁUSULA VIGÉSIMA SEXTA. – COMUNICACIONES</w:t>
      </w:r>
    </w:p>
    <w:p>
      <w:r>
        <w:t>Las partes se comunicarán a los correos y direcciones registrados: por LA SAAAB, info@saaab.gov.co; por EL CONTRATISTA, [correo corporativo a definir]. Cualquier cambio se notificará con no menos de cinco (5) días hábiles de antelación. Las comunicaciones por correo se tendrán por notificadas desde el acuse de recepción del servidor destinatario.</w:t>
      </w:r>
    </w:p>
    <w:p>
      <w:pPr>
        <w:pStyle w:val="Heading2"/>
      </w:pPr>
      <w:r>
        <w:t>CLÁUSULA VIGÉSIMA SÉPTIMA. – FUERZA MAYOR Y CASO FORTUITO</w:t>
      </w:r>
    </w:p>
    <w:p>
      <w:r>
        <w:t>Ninguna parte responderá por incumplimientos derivados de fuerza mayor o caso fortuito debidamente acreditados. La parte afectada deberá: (i) notificar dentro de las 24 horas; (ii) mitigar los efectos; y (iii) reanudar el cumplimiento tan pronto sea posible. Si el evento supera ciento ochenta (180) días continuos, podrá invocarse la causal 20.6.</w:t>
      </w:r>
    </w:p>
    <w:p>
      <w:pPr>
        <w:pStyle w:val="Heading2"/>
      </w:pPr>
      <w:r>
        <w:t>CLÁUSULA VIGÉSIMA OCTAVA. – MODIFICACIONES</w:t>
      </w:r>
    </w:p>
    <w:p>
      <w:r>
        <w:t>Toda modificación constará en escrito firmado por los representantes legales o apoderados facultados. Las actualizaciones tarifarias operan conforme a la Cláusula Quinta y no requieren modificación contractual.</w:t>
      </w:r>
    </w:p>
    <w:p>
      <w:pPr>
        <w:pStyle w:val="Heading2"/>
      </w:pPr>
      <w:r>
        <w:t>CLÁUSULA VIGÉSIMA NOVENA. – DOCUMENTOS INTEGRANTES</w:t>
      </w:r>
    </w:p>
    <w:p>
      <w:r>
        <w:t>Forman parte integrante del contrato:</w:t>
      </w:r>
    </w:p>
    <w:p>
      <w:pPr>
        <w:pStyle w:val="ListBullet"/>
      </w:pPr>
      <w:r>
        <w:t>Anexo 1: Certificado de existencia y representación legal de LA SAAAB.</w:t>
      </w:r>
    </w:p>
    <w:p>
      <w:pPr>
        <w:pStyle w:val="ListBullet"/>
      </w:pPr>
      <w:r>
        <w:t>Anexo 2: Certificado de existencia y representación legal de PACIFIC WATERS O.P S.A.S. (código Zy1CfACUBd, 6 de marzo de 2026).</w:t>
      </w:r>
    </w:p>
    <w:p>
      <w:pPr>
        <w:pStyle w:val="ListBullet"/>
      </w:pPr>
      <w:r>
        <w:t>Anexo 3: Registro de Operador Portuario No. 2025082218393701.</w:t>
      </w:r>
    </w:p>
    <w:p>
      <w:pPr>
        <w:pStyle w:val="ListBullet"/>
      </w:pPr>
      <w:r>
        <w:t>Anexo 4: Estudio de Conveniencia de la SAAAB, 14 de junio de 2026.</w:t>
      </w:r>
    </w:p>
    <w:p>
      <w:pPr>
        <w:pStyle w:val="ListBullet"/>
      </w:pPr>
      <w:r>
        <w:t>Anexo 5: Anexo técnico.</w:t>
      </w:r>
    </w:p>
    <w:p>
      <w:pPr>
        <w:pStyle w:val="ListBullet"/>
      </w:pPr>
      <w:r>
        <w:t>Anexo 6: Anexo financiero (proyección de costos, ventas y modelo de recuperación de inversión que sustenta el plazo).</w:t>
      </w:r>
    </w:p>
    <w:p>
      <w:pPr>
        <w:pStyle w:val="ListBullet"/>
      </w:pPr>
      <w:r>
        <w:t>Anexo 7: Presupuesto de Rehabilitación (línea de acuabuque, muelles).</w:t>
      </w:r>
    </w:p>
    <w:p>
      <w:pPr>
        <w:pStyle w:val="ListBullet"/>
      </w:pPr>
      <w:r>
        <w:t>Anexo 8: Tarifas vigentes aprobadas por LA SAAAB/CRA.</w:t>
      </w:r>
    </w:p>
    <w:p>
      <w:pPr>
        <w:pStyle w:val="ListBullet"/>
      </w:pPr>
      <w:r>
        <w:t>Anexo 9: Planos técnicos de redes y especificación de puntos de acceso (a incorporar en el Acta de Inicio).</w:t>
      </w:r>
    </w:p>
    <w:p>
      <w:pPr>
        <w:pStyle w:val="ListBullet"/>
      </w:pPr>
      <w:r>
        <w:t>Anexo 10: Autorización de la Junta Directiva de LA SAAAB.</w:t>
      </w:r>
    </w:p>
    <w:p>
      <w:pPr>
        <w:pStyle w:val="ListBullet"/>
      </w:pPr>
      <w:r>
        <w:t>Anexo 11: Estatutos Sociales de LA SAAAB vigentes.</w:t>
      </w:r>
    </w:p>
    <w:p>
      <w:pPr>
        <w:pStyle w:val="Heading2"/>
      </w:pPr>
      <w:r>
        <w:t>CLÁUSULA TRIGÉSIMA. – LEGISLACIÓN APLICABLE</w:t>
      </w:r>
    </w:p>
    <w:p>
      <w:r>
        <w:t>El contrato se regirá e interpretará conforme a las leyes de la República de Colombia: Ley 142 de 1994 (arts. 31 y 32, en lo pertinente), Código de Comercio, Código Civil, Resolución CRA 759 de 2016, DUR 1077 de 2015, Decreto 229 de 2002, Ley 1 de 1991, Ley 1753 de 2015, Resolución 7726 de 2016 de la Superintendencia de Puertos y Transporte, y las normas que las modifiquen o complementen.</w:t>
      </w:r>
    </w:p>
    <w:p>
      <w:pPr>
        <w:pStyle w:val="Heading2"/>
      </w:pPr>
      <w:r>
        <w:t>CLÁUSULA TRIGÉSIMA PRIMERA. – PERFECCIONAMIENTO Y LEGALIZACIÓN</w:t>
      </w:r>
    </w:p>
    <w:p>
      <w:r>
        <w:t>El contrato se perfecciona con la firma de los representantes legales de ambas partes. No requiere escritura pública ni registro. Para su ejecución se requiere la aprobación de las garantías por parte de LA SAAAB. Los costos de autenticación notarial, si las partes lo acuerdan, se asumirán por partes iguales.</w:t>
      </w:r>
    </w:p>
    <w:p>
      <w:r>
        <w:t>En constancia, las partes suscriben el presente contrato en dos (2) ejemplares del mismo tenor y valor, en la ciudad de Buenaventura (Valle del Cauca), a los ____ días del mes de ____________ del año dos mil veintiséis (2026).</w:t>
      </w:r>
    </w:p>
    <w:tbl>
      <w:tblPr>
        <w:tblStyle w:val="LightGrid-Accent1"/>
        <w:tblW w:type="auto" w:w="0"/>
        <w:tblLook w:firstColumn="1" w:firstRow="1" w:lastColumn="0" w:lastRow="0" w:noHBand="0" w:noVBand="1" w:val="04A0"/>
      </w:tblPr>
      <w:tblGrid>
        <w:gridCol w:w="4320"/>
        <w:gridCol w:w="4320"/>
      </w:tblGrid>
      <w:tr>
        <w:tc>
          <w:tcPr>
            <w:tcW w:type="dxa" w:w="4320"/>
          </w:tcPr>
          <w:p>
            <w:r>
              <w:t>________________________________</w:t>
            </w:r>
          </w:p>
        </w:tc>
        <w:tc>
          <w:tcPr>
            <w:tcW w:type="dxa" w:w="4320"/>
          </w:tcPr>
          <w:p>
            <w:r>
              <w:t>________________________________</w:t>
            </w:r>
          </w:p>
        </w:tc>
      </w:tr>
      <w:tr>
        <w:tc>
          <w:tcPr>
            <w:tcW w:type="dxa" w:w="4320"/>
          </w:tcPr>
          <w:p>
            <w:r>
              <w:rPr>
                <w:b/>
              </w:rPr>
              <w:t>MARÍA EFIGENIA SALAZAR GUTIÉRREZ</w:t>
            </w:r>
          </w:p>
        </w:tc>
        <w:tc>
          <w:tcPr>
            <w:tcW w:type="dxa" w:w="4320"/>
          </w:tcPr>
          <w:p>
            <w:r>
              <w:rPr>
                <w:b/>
              </w:rPr>
              <w:t>LUZ STELLA BENÍTEZ SIERRA</w:t>
            </w:r>
          </w:p>
        </w:tc>
      </w:tr>
      <w:tr>
        <w:tc>
          <w:tcPr>
            <w:tcW w:type="dxa" w:w="4320"/>
          </w:tcPr>
          <w:p>
            <w:r>
              <w:t>C.C. No. 66.737.610</w:t>
            </w:r>
          </w:p>
        </w:tc>
        <w:tc>
          <w:tcPr>
            <w:tcW w:type="dxa" w:w="4320"/>
          </w:tcPr>
          <w:p>
            <w:r>
              <w:t>C.C. No. 31.199.702</w:t>
            </w:r>
          </w:p>
        </w:tc>
      </w:tr>
      <w:tr>
        <w:tc>
          <w:tcPr>
            <w:tcW w:type="dxa" w:w="4320"/>
          </w:tcPr>
          <w:p>
            <w:r>
              <w:t>Gerente General</w:t>
            </w:r>
          </w:p>
        </w:tc>
        <w:tc>
          <w:tcPr>
            <w:tcW w:type="dxa" w:w="4320"/>
          </w:tcPr>
          <w:p>
            <w:r>
              <w:t>Representante Legal Principal</w:t>
            </w:r>
          </w:p>
        </w:tc>
      </w:tr>
      <w:tr>
        <w:tc>
          <w:tcPr>
            <w:tcW w:type="dxa" w:w="4320"/>
          </w:tcPr>
          <w:p>
            <w:r>
              <w:t>SAAAB S.A.S. E.S.P.</w:t>
            </w:r>
          </w:p>
        </w:tc>
        <w:tc>
          <w:tcPr>
            <w:tcW w:type="dxa" w:w="4320"/>
          </w:tcPr>
          <w:p>
            <w:r>
              <w:t>PACIFIC WATERS O.P S.A.S.</w:t>
            </w:r>
          </w:p>
        </w:tc>
      </w:tr>
      <w:tr>
        <w:tc>
          <w:tcPr>
            <w:tcW w:type="dxa" w:w="4320"/>
          </w:tcPr>
          <w:p>
            <w:r>
              <w:t>NIT: 835.001.290-3</w:t>
            </w:r>
          </w:p>
        </w:tc>
        <w:tc>
          <w:tcPr>
            <w:tcW w:type="dxa" w:w="4320"/>
          </w:tcPr>
          <w:p>
            <w:r>
              <w:t>NIT: 901932430-1</w:t>
            </w:r>
          </w:p>
        </w:tc>
      </w:tr>
    </w:tbl>
    <w:p/>
    <w:p>
      <w:r>
        <w:t>*Elaborado por: Área Jurídica SAAAB E.S.P. – Buenaventura (Valle del Cauca),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