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FB4C" w14:textId="55043FA4" w:rsidR="00FE3449" w:rsidRPr="00FE3449" w:rsidRDefault="00FE3449" w:rsidP="00FE3449">
      <w:r w:rsidRPr="00FE3449">
        <w:t xml:space="preserve">Este gráfico muestra que los videos de salud con artistas e </w:t>
      </w:r>
      <w:proofErr w:type="spellStart"/>
      <w:r w:rsidRPr="00FE3449">
        <w:t>influencers</w:t>
      </w:r>
      <w:proofErr w:type="spellEnd"/>
      <w:r w:rsidRPr="00FE3449">
        <w:t xml:space="preserve"> logran el mayor promedio de vistas, superando a los realizados por médicos, ciudadanos o sin colaborador. Esto indica que las figuras públicas generan más alcance en campañas de salud.</w:t>
      </w:r>
      <w:r>
        <w:t xml:space="preserve"> </w:t>
      </w:r>
      <w:r w:rsidRPr="00FE3449">
        <w:t xml:space="preserve">Los artistas destacan con más de 16,000 vistas en promedio, seguidos por los </w:t>
      </w:r>
      <w:proofErr w:type="spellStart"/>
      <w:r w:rsidRPr="00FE3449">
        <w:t>influencers</w:t>
      </w:r>
      <w:proofErr w:type="spellEnd"/>
      <w:r w:rsidRPr="00FE3449">
        <w:t xml:space="preserve"> con 12,500. En cambio, los videos sin colaborador apenas superan las 3,000 vistas.</w:t>
      </w:r>
    </w:p>
    <w:p w14:paraId="7F532FE8" w14:textId="77777777" w:rsidR="00097152" w:rsidRPr="00FE3449" w:rsidRDefault="00097152" w:rsidP="00FE3449"/>
    <w:sectPr w:rsidR="00097152" w:rsidRPr="00FE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49"/>
    <w:rsid w:val="00097152"/>
    <w:rsid w:val="001F2316"/>
    <w:rsid w:val="00760E86"/>
    <w:rsid w:val="00783311"/>
    <w:rsid w:val="0082343E"/>
    <w:rsid w:val="00F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E358"/>
  <w15:chartTrackingRefBased/>
  <w15:docId w15:val="{14E11606-333F-42EF-BEA7-81F6BAB8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11"/>
  </w:style>
  <w:style w:type="paragraph" w:styleId="Ttulo1">
    <w:name w:val="heading 1"/>
    <w:basedOn w:val="Normal"/>
    <w:next w:val="Normal"/>
    <w:link w:val="Ttulo1Car"/>
    <w:uiPriority w:val="9"/>
    <w:qFormat/>
    <w:rsid w:val="00FE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4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4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4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4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4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4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4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4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4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4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2025-06-16T00:26:00Z</dcterms:created>
  <dcterms:modified xsi:type="dcterms:W3CDTF">2025-06-16T00:26:00Z</dcterms:modified>
</cp:coreProperties>
</file>