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Same Area, Different Perimeter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Distinguish area from perimeter and explore their relationship.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Write one sentence using "square units" and one sentence using "units."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Geometry classifies figures by defining attributes. Area measures covering in square units; perimeter measures distance around in linear units. Visual models should keep these attributes distinct.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Grid paper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Place beside the student. Use for drawings, organized records, and a second representation.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square tiles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Sort into labeled piles. Use first to build the quantity, then keep the model visible while recording symbols.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weekly assessment.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attribute: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parallel: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perpendicular: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quadrilateral: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area: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perimeter: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distinguish area from perimeter and explore their relationship.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"Can two shapes have the same area but different perimeters?"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geometry, area, and perimeter,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build rectangles with area 24.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calculate each perimeter.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build rectangles with perimeter 20.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calculate each area.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discuss why area and perimeter measure different attributes.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Name three defining attributes of a rectangle.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Find the area and perimeter of a 6-by-4 rectangle.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Draw two different rectangles with area 24 square units.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A square has perimeter 28 units. Find its side length and area.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5: Classify a quadrilateral with two pairs of parallel sides and four right angles.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6: Explain how two shapes can have the same area but different perimeters.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Classifying shapes only by appearance or orientation.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Confusing area with perimeter.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Using linear units for area or square units for perimeter.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Among rectangles with area 24, which has the smallest perimeter? Explain why.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Write one sentence using "square units" and one sentence using "units.""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'Can two shapes have the same area but different perimeters?'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distinguish area from perimeter and explore their relationship.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'Among rectangles with area 24, which has the smallest perimeter? Explain why.'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'Write one sentence using "square units" and one sentence using "units."'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Assessment Answer Notes</w:t>
      </w:r>
    </w:p>
    <w:p>
      <w:r>
        <w:rPr>
          <w:rFonts w:ascii="Aptos" w:hAnsi="Aptos"/>
          <w:b/>
          <w:color w:val="2E75B6"/>
          <w:sz w:val="18"/>
        </w:rPr>
        <w:t xml:space="preserve">1. </w:t>
      </w:r>
      <w:r>
        <w:rPr>
          <w:rFonts w:ascii="Aptos" w:hAnsi="Aptos"/>
          <w:b w:val="0"/>
          <w:color w:val="111111"/>
          <w:sz w:val="18"/>
        </w:rPr>
        <w:t>Four sides, four right angles, and two pairs of parallel opposite sides.</w:t>
      </w:r>
    </w:p>
    <w:p>
      <w:r>
        <w:rPr>
          <w:rFonts w:ascii="Aptos" w:hAnsi="Aptos"/>
          <w:b/>
          <w:color w:val="2E75B6"/>
          <w:sz w:val="18"/>
        </w:rPr>
        <w:t xml:space="preserve">2. </w:t>
      </w:r>
      <w:r>
        <w:rPr>
          <w:rFonts w:ascii="Aptos" w:hAnsi="Aptos"/>
          <w:b w:val="0"/>
          <w:color w:val="111111"/>
          <w:sz w:val="18"/>
        </w:rPr>
        <w:t>Area 24 square units; perimeter 20 units.</w:t>
      </w:r>
    </w:p>
    <w:p>
      <w:r>
        <w:rPr>
          <w:rFonts w:ascii="Aptos" w:hAnsi="Aptos"/>
          <w:b/>
          <w:color w:val="2E75B6"/>
          <w:sz w:val="18"/>
        </w:rPr>
        <w:t xml:space="preserve">3. </w:t>
      </w:r>
      <w:r>
        <w:rPr>
          <w:rFonts w:ascii="Aptos" w:hAnsi="Aptos"/>
          <w:b w:val="0"/>
          <w:color w:val="111111"/>
          <w:sz w:val="18"/>
        </w:rPr>
        <w:t>Examples: 1 by 24, 2 by 12, 3 by 8, or 4 by 6.</w:t>
      </w:r>
    </w:p>
    <w:p>
      <w:r>
        <w:rPr>
          <w:rFonts w:ascii="Aptos" w:hAnsi="Aptos"/>
          <w:b/>
          <w:color w:val="2E75B6"/>
          <w:sz w:val="18"/>
        </w:rPr>
        <w:t xml:space="preserve">4. </w:t>
      </w:r>
      <w:r>
        <w:rPr>
          <w:rFonts w:ascii="Aptos" w:hAnsi="Aptos"/>
          <w:b w:val="0"/>
          <w:color w:val="111111"/>
          <w:sz w:val="18"/>
        </w:rPr>
        <w:t>Side 7 units; area 49 square units.</w:t>
      </w:r>
    </w:p>
    <w:p>
      <w:r>
        <w:rPr>
          <w:rFonts w:ascii="Aptos" w:hAnsi="Aptos"/>
          <w:b/>
          <w:color w:val="2E75B6"/>
          <w:sz w:val="18"/>
        </w:rPr>
        <w:t xml:space="preserve">5. </w:t>
      </w:r>
      <w:r>
        <w:rPr>
          <w:rFonts w:ascii="Aptos" w:hAnsi="Aptos"/>
          <w:b w:val="0"/>
          <w:color w:val="111111"/>
          <w:sz w:val="18"/>
        </w:rPr>
        <w:t>Rectangle; a square is also possible if all sides are equal.</w:t>
      </w:r>
    </w:p>
    <w:p>
      <w:r>
        <w:rPr>
          <w:rFonts w:ascii="Aptos" w:hAnsi="Aptos"/>
          <w:b/>
          <w:color w:val="2E75B6"/>
          <w:sz w:val="18"/>
        </w:rPr>
        <w:t xml:space="preserve">6. </w:t>
      </w:r>
      <w:r>
        <w:rPr>
          <w:rFonts w:ascii="Aptos" w:hAnsi="Aptos"/>
          <w:b w:val="0"/>
          <w:color w:val="111111"/>
          <w:sz w:val="18"/>
        </w:rPr>
        <w:t>Valid examples and explanations vary.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8, Day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